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44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2020-2021学年第一学期试卷质量评价表</w:t>
      </w:r>
      <w:bookmarkEnd w:id="0"/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28"/>
          <w:szCs w:val="28"/>
          <w:lang w:val="en-US" w:eastAsia="zh-CN"/>
        </w:rPr>
        <w:t>（期末考核方式为试卷的课程填写）</w:t>
      </w:r>
    </w:p>
    <w:tbl>
      <w:tblPr>
        <w:tblStyle w:val="3"/>
        <w:tblW w:w="5457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374"/>
        <w:gridCol w:w="781"/>
        <w:gridCol w:w="852"/>
        <w:gridCol w:w="1487"/>
        <w:gridCol w:w="2600"/>
        <w:gridCol w:w="983"/>
        <w:gridCol w:w="11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考试课程名称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1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任课教师姓名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学生专业班级</w:t>
            </w:r>
          </w:p>
        </w:tc>
        <w:tc>
          <w:tcPr>
            <w:tcW w:w="1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2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学生人数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试卷份数</w:t>
            </w:r>
          </w:p>
        </w:tc>
        <w:tc>
          <w:tcPr>
            <w:tcW w:w="1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5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  价  项  目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指标内涵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具体情况说明备注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4" w:hRule="atLeast"/>
          <w:jc w:val="center"/>
        </w:trPr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试题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(70分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)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命题规范、教学大纲覆盖程度符合要求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(15分)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必修课由课程教学承担单位统一命题，各公共课教研室主任（负责人）审定；其他课程由各院部组织命题，院部教研室主任或教学主管领导审定。公共基础课和有条件的专业课应建立试卷库或试题库，实行教、考分离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教学内容覆盖程度科学合理。试卷对大纲内容的覆盖面不得少于90%，要兼顾概念、理解、应用、分析、综合以及评价等方面的知识与能力的考核。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题型多样，对知识灵活应用、综合能力考查情况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(10分)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题型多样，试题类型一般不少于4种，主客观题比例恰当、注重对学生综合能力、创新能力等多方面考查。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题量和题目分值设置情况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(15分)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题量适中，分值设置科学。考试时间一般为120分钟。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课程考核试卷卷面总分一般应为100分，每类题型均应标明总分值及小题分值，每题最大分值一般不超过15分。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jc w:val="center"/>
        </w:trPr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难易度合适、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挑战度大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(15分)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题目难易分布合理，难易程度合适，有挑战度。有关基础知识、基本能力的题目应占总分的60%左右，综合性、应用性题目占30%左右，提高性题目占10%左右。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考试试题重复率符合要求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(15分)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所有考试课程的命题，都必须至少同时提供覆盖面、难易度、题目量等相当的A、B两套试卷，两套试卷中内容相近的题目占分不得超过20%，且不得出现完全相同的题目。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卷面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(10分)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卷面排版格式规范、试题文字表述、分值标注清晰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(10分)</w:t>
            </w:r>
          </w:p>
        </w:tc>
        <w:tc>
          <w:tcPr>
            <w:tcW w:w="2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按照统一格式排版，题意表述准确，公式、插图工整清楚，无内容、排版错误，分值标注无误。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49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参考答案及评分标准质量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(20分)</w:t>
            </w:r>
          </w:p>
        </w:tc>
        <w:tc>
          <w:tcPr>
            <w:tcW w:w="2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参考答案、评分标准规范合理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(20分)</w:t>
            </w:r>
          </w:p>
        </w:tc>
        <w:tc>
          <w:tcPr>
            <w:tcW w:w="224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参考答案正确规范，评分标准标注清楚合理，不失灵活性。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非标准答案试题是以“学”为中心，没有标准化答案，试题具灵活性、开放性、探究性，考查发散思维、创新能力、知识运用能力。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59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总分100分</w:t>
            </w:r>
          </w:p>
        </w:tc>
        <w:tc>
          <w:tcPr>
            <w:tcW w:w="22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计算得分：</w:t>
            </w:r>
          </w:p>
        </w:tc>
        <w:tc>
          <w:tcPr>
            <w:tcW w:w="11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家 综 合 评 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试卷评价结果：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可以使用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修改完善后使用  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不能使用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专家评语：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EFD70A-EC9E-4C00-A671-A4BB2CFCC1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000B64D-420E-4BA1-8A25-5E03412D007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2410602-30EE-4ED2-8DF1-3CCEC46ACB6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53BD01A2-8E13-4F40-8EF3-92A94BC67B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2239D"/>
    <w:rsid w:val="035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8">
    <w:name w:val="font51"/>
    <w:basedOn w:val="4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2020-12-21T07:26:00Z</dcterms:created>
  <dc:creator>路淑楠</dc:creator>
  <cp:lastModifiedBy>路淑楠</cp:lastModifiedBy>
  <dcterms:modified xsi:type="dcterms:W3CDTF">2020-12-21T07:27:01Z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