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B" w:rsidRPr="003B1106" w:rsidRDefault="008E260B" w:rsidP="008E260B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Pr="00B02937" w:rsidRDefault="008E260B" w:rsidP="008E260B">
      <w:pPr>
        <w:spacing w:line="360" w:lineRule="auto"/>
        <w:jc w:val="center"/>
        <w:rPr>
          <w:rFonts w:ascii="黑体" w:eastAsia="黑体" w:hAnsi="宋体"/>
          <w:b/>
          <w:sz w:val="72"/>
          <w:szCs w:val="72"/>
        </w:rPr>
      </w:pPr>
      <w:r w:rsidRPr="00B02937">
        <w:rPr>
          <w:rFonts w:ascii="黑体" w:eastAsia="黑体" w:hAnsi="宋体" w:hint="eastAsia"/>
          <w:b/>
          <w:sz w:val="72"/>
          <w:szCs w:val="72"/>
        </w:rPr>
        <w:t>学士学位授权</w:t>
      </w:r>
      <w:r>
        <w:rPr>
          <w:rFonts w:ascii="黑体" w:eastAsia="黑体" w:hAnsi="宋体" w:hint="eastAsia"/>
          <w:b/>
          <w:sz w:val="72"/>
          <w:szCs w:val="72"/>
        </w:rPr>
        <w:t>专业</w:t>
      </w:r>
      <w:r w:rsidRPr="00B02937">
        <w:rPr>
          <w:rFonts w:ascii="黑体" w:eastAsia="黑体" w:hAnsi="宋体" w:hint="eastAsia"/>
          <w:b/>
          <w:sz w:val="72"/>
          <w:szCs w:val="72"/>
        </w:rPr>
        <w:t>评审</w:t>
      </w: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Pr="00E128B5" w:rsidRDefault="008E260B" w:rsidP="008E260B">
      <w:pPr>
        <w:spacing w:line="360" w:lineRule="auto"/>
        <w:jc w:val="center"/>
        <w:rPr>
          <w:rFonts w:ascii="华文新魏" w:eastAsia="华文新魏" w:hAnsi="宋体"/>
          <w:b/>
          <w:sz w:val="96"/>
          <w:szCs w:val="96"/>
        </w:rPr>
      </w:pPr>
      <w:r w:rsidRPr="00E128B5">
        <w:rPr>
          <w:rFonts w:ascii="华文新魏" w:eastAsia="华文新魏" w:hAnsi="宋体" w:hint="eastAsia"/>
          <w:b/>
          <w:sz w:val="96"/>
          <w:szCs w:val="96"/>
        </w:rPr>
        <w:t>自评报告</w:t>
      </w: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Pr="005E2558" w:rsidRDefault="008D3405" w:rsidP="005E2558">
      <w:pPr>
        <w:spacing w:line="540" w:lineRule="exact"/>
        <w:jc w:val="center"/>
        <w:rPr>
          <w:rFonts w:ascii="宋体" w:hAnsi="宋体"/>
          <w:b/>
          <w:sz w:val="48"/>
          <w:szCs w:val="36"/>
        </w:rPr>
      </w:pPr>
      <w:r>
        <w:rPr>
          <w:rFonts w:ascii="宋体" w:hAnsi="宋体" w:hint="eastAsia"/>
          <w:b/>
          <w:sz w:val="48"/>
          <w:szCs w:val="36"/>
        </w:rPr>
        <w:t>XXX(专业名称)</w:t>
      </w: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8E260B" w:rsidRDefault="008E260B" w:rsidP="008E260B">
      <w:pPr>
        <w:spacing w:line="360" w:lineRule="auto"/>
        <w:jc w:val="center"/>
        <w:rPr>
          <w:rFonts w:ascii="华文新魏" w:eastAsia="华文新魏" w:hAnsi="宋体"/>
          <w:b/>
          <w:sz w:val="72"/>
          <w:szCs w:val="72"/>
        </w:rPr>
      </w:pPr>
    </w:p>
    <w:p w:rsidR="008E260B" w:rsidRDefault="008E260B" w:rsidP="008E260B">
      <w:pPr>
        <w:spacing w:line="360" w:lineRule="auto"/>
        <w:jc w:val="center"/>
        <w:rPr>
          <w:rFonts w:ascii="华文新魏" w:eastAsia="华文新魏" w:hAnsi="宋体"/>
          <w:b/>
          <w:sz w:val="72"/>
          <w:szCs w:val="72"/>
        </w:rPr>
      </w:pPr>
    </w:p>
    <w:p w:rsidR="008E260B" w:rsidRPr="002D56B6" w:rsidRDefault="008E260B" w:rsidP="008E260B">
      <w:pPr>
        <w:jc w:val="center"/>
        <w:rPr>
          <w:rFonts w:ascii="黑体" w:eastAsia="黑体" w:hAnsi="华文中宋"/>
          <w:b/>
          <w:color w:val="000000"/>
          <w:sz w:val="36"/>
          <w:szCs w:val="36"/>
          <w:lang w:val="en-GB"/>
        </w:rPr>
      </w:pPr>
      <w:r>
        <w:rPr>
          <w:rFonts w:ascii="黑体" w:eastAsia="黑体" w:hAnsi="华文中宋" w:hint="eastAsia"/>
          <w:b/>
          <w:color w:val="000000"/>
          <w:sz w:val="36"/>
          <w:szCs w:val="36"/>
        </w:rPr>
        <w:t>二○一六</w:t>
      </w:r>
      <w:r w:rsidRPr="002D56B6">
        <w:rPr>
          <w:rFonts w:ascii="黑体" w:eastAsia="黑体" w:hAnsi="华文中宋" w:hint="eastAsia"/>
          <w:b/>
          <w:color w:val="000000"/>
          <w:sz w:val="36"/>
          <w:szCs w:val="36"/>
        </w:rPr>
        <w:t>年</w:t>
      </w:r>
      <w:r>
        <w:rPr>
          <w:rFonts w:ascii="黑体" w:eastAsia="黑体" w:hAnsi="华文中宋" w:hint="eastAsia"/>
          <w:b/>
          <w:color w:val="000000"/>
          <w:sz w:val="36"/>
          <w:szCs w:val="36"/>
        </w:rPr>
        <w:t>十二</w:t>
      </w:r>
      <w:r w:rsidRPr="002D56B6">
        <w:rPr>
          <w:rFonts w:ascii="黑体" w:eastAsia="黑体" w:hAnsi="华文中宋" w:hint="eastAsia"/>
          <w:b/>
          <w:color w:val="000000"/>
          <w:sz w:val="36"/>
          <w:szCs w:val="36"/>
        </w:rPr>
        <w:t>月</w:t>
      </w:r>
    </w:p>
    <w:p w:rsidR="008E260B" w:rsidRPr="00330601" w:rsidRDefault="008E260B" w:rsidP="008E260B">
      <w:pPr>
        <w:spacing w:line="360" w:lineRule="auto"/>
        <w:jc w:val="center"/>
        <w:rPr>
          <w:rFonts w:ascii="华文新魏" w:eastAsia="华文新魏" w:hAnsi="宋体"/>
          <w:b/>
          <w:sz w:val="72"/>
          <w:szCs w:val="72"/>
        </w:rPr>
      </w:pPr>
    </w:p>
    <w:p w:rsidR="008E260B" w:rsidRDefault="008E260B">
      <w:pPr>
        <w:widowControl/>
        <w:jc w:val="left"/>
      </w:pPr>
      <w:r>
        <w:br w:type="page"/>
      </w:r>
    </w:p>
    <w:p w:rsidR="008E260B" w:rsidRPr="00161C56" w:rsidRDefault="008E260B" w:rsidP="00161C5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commentRangeStart w:id="0"/>
      <w:r w:rsidRPr="00161C56">
        <w:rPr>
          <w:rFonts w:ascii="宋体" w:hAnsi="宋体" w:hint="eastAsia"/>
          <w:b/>
          <w:sz w:val="36"/>
          <w:szCs w:val="36"/>
        </w:rPr>
        <w:lastRenderedPageBreak/>
        <w:t>目</w:t>
      </w:r>
      <w:r w:rsidR="00D731AE" w:rsidRPr="00161C56">
        <w:rPr>
          <w:rFonts w:ascii="宋体" w:hAnsi="宋体" w:hint="eastAsia"/>
          <w:b/>
          <w:sz w:val="36"/>
          <w:szCs w:val="36"/>
        </w:rPr>
        <w:t xml:space="preserve">  </w:t>
      </w:r>
      <w:r w:rsidRPr="00161C56">
        <w:rPr>
          <w:rFonts w:ascii="宋体" w:hAnsi="宋体" w:hint="eastAsia"/>
          <w:b/>
          <w:sz w:val="36"/>
          <w:szCs w:val="36"/>
        </w:rPr>
        <w:t>录</w:t>
      </w:r>
      <w:commentRangeEnd w:id="0"/>
      <w:r w:rsidR="00997032" w:rsidRPr="00161C56">
        <w:rPr>
          <w:rStyle w:val="aa"/>
          <w:sz w:val="36"/>
          <w:szCs w:val="36"/>
        </w:rPr>
        <w:commentReference w:id="0"/>
      </w:r>
    </w:p>
    <w:p w:rsidR="008E260B" w:rsidRPr="00692D26" w:rsidRDefault="00DC1888" w:rsidP="00F17C07">
      <w:pPr>
        <w:pStyle w:val="20"/>
        <w:spacing w:line="400" w:lineRule="exact"/>
        <w:ind w:leftChars="0" w:left="0"/>
        <w:rPr>
          <w:rFonts w:asciiTheme="minorEastAsia" w:eastAsiaTheme="minorEastAsia" w:hAnsiTheme="minorEastAsia"/>
        </w:rPr>
      </w:pPr>
      <w:r w:rsidRPr="0051362B">
        <w:rPr>
          <w:rFonts w:ascii="宋体" w:hAnsi="宋体"/>
        </w:rPr>
        <w:fldChar w:fldCharType="begin"/>
      </w:r>
      <w:r w:rsidR="008E260B" w:rsidRPr="0051362B">
        <w:rPr>
          <w:rFonts w:ascii="宋体" w:hAnsi="宋体"/>
        </w:rPr>
        <w:instrText xml:space="preserve"> </w:instrText>
      </w:r>
      <w:r w:rsidR="008E260B" w:rsidRPr="0051362B">
        <w:rPr>
          <w:rFonts w:ascii="宋体" w:hAnsi="宋体" w:hint="eastAsia"/>
        </w:rPr>
        <w:instrText>TOC \o "1-3" \h \z \u</w:instrText>
      </w:r>
      <w:r w:rsidR="008E260B" w:rsidRPr="0051362B">
        <w:rPr>
          <w:rFonts w:ascii="宋体" w:hAnsi="宋体"/>
        </w:rPr>
        <w:instrText xml:space="preserve"> </w:instrText>
      </w:r>
      <w:r w:rsidRPr="0051362B">
        <w:rPr>
          <w:rFonts w:ascii="宋体" w:hAnsi="宋体"/>
        </w:rPr>
        <w:fldChar w:fldCharType="separate"/>
      </w:r>
      <w:hyperlink w:anchor="_Toc388080690" w:history="1">
        <w:r w:rsidR="008E260B" w:rsidRPr="00692D26">
          <w:rPr>
            <w:rStyle w:val="a3"/>
            <w:rFonts w:asciiTheme="minorEastAsia" w:eastAsiaTheme="minorEastAsia" w:hAnsiTheme="minorEastAsia" w:hint="eastAsia"/>
          </w:rPr>
          <w:t>第一部分</w:t>
        </w:r>
        <w:r w:rsidR="00011A01" w:rsidRPr="00692D26">
          <w:rPr>
            <w:rStyle w:val="a3"/>
            <w:rFonts w:asciiTheme="minorEastAsia" w:eastAsiaTheme="minorEastAsia" w:hAnsiTheme="minorEastAsia"/>
          </w:rPr>
          <w:t xml:space="preserve"> </w:t>
        </w:r>
        <w:r w:rsidR="00011A01" w:rsidRPr="00692D26">
          <w:rPr>
            <w:rStyle w:val="a3"/>
            <w:rFonts w:asciiTheme="minorEastAsia" w:eastAsiaTheme="minorEastAsia" w:hAnsiTheme="minorEastAsia" w:hint="eastAsia"/>
          </w:rPr>
          <w:t xml:space="preserve"> </w:t>
        </w:r>
        <w:r w:rsidR="001578EB" w:rsidRPr="00692D26">
          <w:rPr>
            <w:rStyle w:val="a3"/>
            <w:rFonts w:asciiTheme="minorEastAsia" w:eastAsiaTheme="minorEastAsia" w:hAnsiTheme="minorEastAsia" w:hint="eastAsia"/>
          </w:rPr>
          <w:t>学院</w:t>
        </w:r>
        <w:r w:rsidR="008E260B" w:rsidRPr="00692D26">
          <w:rPr>
            <w:rStyle w:val="a3"/>
            <w:rFonts w:asciiTheme="minorEastAsia" w:eastAsiaTheme="minorEastAsia" w:hAnsiTheme="minorEastAsia" w:hint="eastAsia"/>
          </w:rPr>
          <w:t>概况</w:t>
        </w:r>
        <w:r w:rsidR="0049210F" w:rsidRPr="0049210F">
          <w:rPr>
            <w:rFonts w:asciiTheme="minorEastAsia" w:eastAsiaTheme="minorEastAsia" w:hAnsiTheme="minorEastAsia"/>
            <w:b w:val="0"/>
            <w:webHidden/>
          </w:rPr>
          <w:tab/>
        </w:r>
      </w:hyperlink>
      <w:r w:rsidR="00AD2274" w:rsidRPr="00692D26">
        <w:rPr>
          <w:rFonts w:asciiTheme="minorEastAsia" w:eastAsiaTheme="minorEastAsia" w:hAnsiTheme="minorEastAsia" w:hint="eastAsia"/>
          <w:b w:val="0"/>
        </w:rPr>
        <w:t>1</w:t>
      </w:r>
    </w:p>
    <w:p w:rsidR="008E260B" w:rsidRPr="00692D26" w:rsidRDefault="007D641F" w:rsidP="00F17C07">
      <w:pPr>
        <w:pStyle w:val="20"/>
        <w:spacing w:line="400" w:lineRule="exact"/>
        <w:ind w:leftChars="0" w:left="0"/>
        <w:rPr>
          <w:rFonts w:asciiTheme="minorEastAsia" w:eastAsiaTheme="minorEastAsia" w:hAnsiTheme="minorEastAsia"/>
        </w:rPr>
      </w:pPr>
      <w:hyperlink w:anchor="_Toc388080691" w:history="1">
        <w:r w:rsidR="008E260B" w:rsidRPr="00692D26">
          <w:rPr>
            <w:rStyle w:val="a3"/>
            <w:rFonts w:asciiTheme="minorEastAsia" w:eastAsiaTheme="minorEastAsia" w:hAnsiTheme="minorEastAsia" w:hint="eastAsia"/>
          </w:rPr>
          <w:t>第二部分</w:t>
        </w:r>
        <w:r w:rsidR="00011A01" w:rsidRPr="00692D26">
          <w:rPr>
            <w:rStyle w:val="a3"/>
            <w:rFonts w:asciiTheme="minorEastAsia" w:eastAsiaTheme="minorEastAsia" w:hAnsiTheme="minorEastAsia"/>
          </w:rPr>
          <w:t xml:space="preserve"> </w:t>
        </w:r>
        <w:r w:rsidR="00011A01" w:rsidRPr="00692D26">
          <w:rPr>
            <w:rStyle w:val="a3"/>
            <w:rFonts w:asciiTheme="minorEastAsia" w:eastAsiaTheme="minorEastAsia" w:hAnsiTheme="minorEastAsia" w:hint="eastAsia"/>
          </w:rPr>
          <w:t xml:space="preserve"> </w:t>
        </w:r>
        <w:r w:rsidR="008E260B" w:rsidRPr="00692D26">
          <w:rPr>
            <w:rStyle w:val="a3"/>
            <w:rFonts w:asciiTheme="minorEastAsia" w:eastAsiaTheme="minorEastAsia" w:hAnsiTheme="minorEastAsia" w:hint="eastAsia"/>
          </w:rPr>
          <w:t>评建工作</w:t>
        </w:r>
        <w:r w:rsidR="0049210F" w:rsidRPr="0049210F">
          <w:rPr>
            <w:rFonts w:asciiTheme="minorEastAsia" w:eastAsiaTheme="minorEastAsia" w:hAnsiTheme="minorEastAsia"/>
            <w:webHidden/>
          </w:rPr>
          <w:tab/>
        </w:r>
      </w:hyperlink>
      <w:r w:rsidR="00AD2274" w:rsidRPr="00692D26">
        <w:rPr>
          <w:rFonts w:asciiTheme="minorEastAsia" w:eastAsiaTheme="minorEastAsia" w:hAnsiTheme="minorEastAsia" w:hint="eastAsia"/>
          <w:b w:val="0"/>
        </w:rPr>
        <w:t>1</w:t>
      </w:r>
    </w:p>
    <w:p w:rsidR="008E260B" w:rsidRPr="00692D26" w:rsidRDefault="007D641F" w:rsidP="00F17C07">
      <w:pPr>
        <w:pStyle w:val="20"/>
        <w:spacing w:line="400" w:lineRule="exact"/>
        <w:ind w:leftChars="0" w:left="0"/>
        <w:rPr>
          <w:rFonts w:asciiTheme="minorEastAsia" w:eastAsiaTheme="minorEastAsia" w:hAnsiTheme="minorEastAsia"/>
          <w:sz w:val="24"/>
          <w:szCs w:val="24"/>
        </w:rPr>
      </w:pPr>
      <w:hyperlink w:anchor="_Toc388080692" w:history="1">
        <w:r w:rsidR="008E260B" w:rsidRPr="00692D26">
          <w:rPr>
            <w:rStyle w:val="a3"/>
            <w:rFonts w:asciiTheme="minorEastAsia" w:eastAsiaTheme="minorEastAsia" w:hAnsiTheme="minorEastAsia" w:hint="eastAsia"/>
          </w:rPr>
          <w:t>第三部分</w:t>
        </w:r>
        <w:r w:rsidR="00011A01" w:rsidRPr="00692D26">
          <w:rPr>
            <w:rStyle w:val="a3"/>
            <w:rFonts w:asciiTheme="minorEastAsia" w:eastAsiaTheme="minorEastAsia" w:hAnsiTheme="minorEastAsia"/>
          </w:rPr>
          <w:t xml:space="preserve"> </w:t>
        </w:r>
        <w:r w:rsidR="00011A01" w:rsidRPr="00692D26">
          <w:rPr>
            <w:rStyle w:val="a3"/>
            <w:rFonts w:asciiTheme="minorEastAsia" w:eastAsiaTheme="minorEastAsia" w:hAnsiTheme="minorEastAsia" w:hint="eastAsia"/>
          </w:rPr>
          <w:t xml:space="preserve"> </w:t>
        </w:r>
        <w:r w:rsidR="008E260B" w:rsidRPr="00692D26">
          <w:rPr>
            <w:rStyle w:val="a3"/>
            <w:rFonts w:asciiTheme="minorEastAsia" w:eastAsiaTheme="minorEastAsia" w:hAnsiTheme="minorEastAsia" w:hint="eastAsia"/>
          </w:rPr>
          <w:t>本科办学及建设成绩</w:t>
        </w:r>
        <w:r w:rsidR="0049210F" w:rsidRPr="0049210F">
          <w:rPr>
            <w:rFonts w:asciiTheme="minorEastAsia" w:eastAsiaTheme="minorEastAsia" w:hAnsiTheme="minorEastAsia"/>
            <w:webHidden/>
          </w:rPr>
          <w:tab/>
        </w:r>
      </w:hyperlink>
      <w:r w:rsidR="00AD2274" w:rsidRPr="00692D26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leftChars="0" w:left="0" w:firstLineChars="300" w:firstLine="72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一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专业建设及人才培养方案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AD2274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7075E3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407129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（一）专业建设</w:t>
        </w:r>
        <w:r w:rsidR="00407129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AD2274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407129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7075E3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（二）人才培养方案</w:t>
        </w:r>
        <w:r w:rsidR="007075E3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leftChars="0" w:left="0" w:firstLineChars="300" w:firstLine="720"/>
        <w:rPr>
          <w:rFonts w:asciiTheme="minorEastAsia" w:eastAsiaTheme="minorEastAsia" w:hAnsiTheme="minorEastAsia"/>
          <w:noProof/>
          <w:sz w:val="24"/>
        </w:rPr>
      </w:pPr>
      <w:hyperlink w:anchor="_Toc388080695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二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师资队伍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9C2DF6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9C2DF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</w:t>
        </w:r>
        <w:r w:rsidR="002464C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专业负责人</w:t>
        </w:r>
        <w:r w:rsidR="009C2DF6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9C2DF6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9C2DF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（二）</w:t>
        </w:r>
        <w:r w:rsidR="002464C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专业教师配置</w:t>
        </w:r>
        <w:r w:rsidR="009C2DF6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9C2DF6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9C2DF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（三）</w:t>
        </w:r>
        <w:r w:rsidR="002464C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专业教师结构</w:t>
        </w:r>
        <w:r w:rsidR="009C2DF6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9C2DF6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9C2DF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（四）</w:t>
        </w:r>
        <w:r w:rsidR="002464C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教师教学与科研能力（含教学研究）</w:t>
        </w:r>
        <w:r w:rsidR="009C2DF6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9C2DF6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9C2DF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（五）</w:t>
        </w:r>
        <w:r w:rsidR="002464C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实验教师队伍</w:t>
        </w:r>
        <w:r w:rsidR="009C2DF6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leftChars="0" w:left="0" w:firstLineChars="300" w:firstLine="720"/>
        <w:rPr>
          <w:rFonts w:asciiTheme="minorEastAsia" w:eastAsiaTheme="minorEastAsia" w:hAnsiTheme="minorEastAsia"/>
          <w:noProof/>
          <w:sz w:val="24"/>
        </w:rPr>
      </w:pPr>
      <w:hyperlink w:anchor="_Toc388080696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三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教学条件及利用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2B4533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2B4533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（一）专业实验室</w:t>
        </w:r>
        <w:r w:rsidR="002B4533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2B4533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2B4533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（二）专业图书资料</w:t>
        </w:r>
        <w:r w:rsidR="002B4533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2B4533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2B4533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（三）实习基地</w:t>
        </w:r>
        <w:r w:rsidR="002B4533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leftChars="0" w:left="0" w:firstLineChars="300" w:firstLine="720"/>
        <w:rPr>
          <w:rFonts w:asciiTheme="minorEastAsia" w:eastAsiaTheme="minorEastAsia" w:hAnsiTheme="minorEastAsia"/>
          <w:noProof/>
          <w:sz w:val="24"/>
        </w:rPr>
      </w:pPr>
      <w:hyperlink w:anchor="_Toc388080697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四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教学过程及管理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（一）课程建设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BC75D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二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）教材建设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BC75D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三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）教学研究与改革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BC75D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四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）质量监控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leftChars="0" w:left="0" w:firstLineChars="350" w:firstLine="840"/>
        <w:rPr>
          <w:rFonts w:asciiTheme="minorEastAsia" w:eastAsiaTheme="minorEastAsia" w:hAnsiTheme="minorEastAsia"/>
          <w:noProof/>
          <w:sz w:val="24"/>
        </w:rPr>
      </w:pPr>
      <w:hyperlink w:anchor="_Toc388080698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五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实践教学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</w:t>
        </w:r>
        <w:r w:rsidR="00D81B8D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实验开出率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BC75D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二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</w:t>
        </w:r>
        <w:r w:rsidR="00D81B8D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综合性、设计性实验比例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BC75D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三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</w:t>
        </w:r>
        <w:r w:rsidR="00D81B8D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实习教学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30"/>
        <w:tabs>
          <w:tab w:val="right" w:leader="dot" w:pos="9060"/>
        </w:tabs>
        <w:spacing w:line="400" w:lineRule="exact"/>
        <w:rPr>
          <w:rFonts w:asciiTheme="minorEastAsia" w:eastAsiaTheme="minorEastAsia" w:hAnsiTheme="minorEastAsia"/>
          <w:noProof/>
          <w:sz w:val="24"/>
        </w:rPr>
      </w:pPr>
      <w:hyperlink w:anchor="_Toc388080699" w:history="1">
        <w:r w:rsidR="007240D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六</w:t>
        </w:r>
        <w:r w:rsidR="00C070B5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．</w:t>
        </w:r>
        <w:r w:rsidR="008E260B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毕业论文</w:t>
        </w:r>
        <w:r w:rsidR="00650C40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（论文）</w:t>
        </w:r>
        <w:r w:rsidR="008E260B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（一）</w:t>
        </w:r>
        <w:r w:rsidR="00D8151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基本规范要求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1D774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二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</w:t>
        </w:r>
        <w:r w:rsidR="00D8151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选题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1D774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三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</w:t>
        </w:r>
        <w:r w:rsidR="00D8151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指导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527E11" w:rsidRPr="00692D26" w:rsidRDefault="007D641F" w:rsidP="00F17C07">
      <w:pPr>
        <w:pStyle w:val="30"/>
        <w:tabs>
          <w:tab w:val="right" w:leader="dot" w:pos="9060"/>
        </w:tabs>
        <w:spacing w:line="400" w:lineRule="exact"/>
        <w:ind w:firstLineChars="100" w:firstLine="240"/>
        <w:rPr>
          <w:rFonts w:asciiTheme="minorEastAsia" w:eastAsiaTheme="minorEastAsia" w:hAnsiTheme="minorEastAsia"/>
          <w:noProof/>
          <w:sz w:val="24"/>
        </w:rPr>
      </w:pPr>
      <w:hyperlink w:anchor="_Toc388080694" w:history="1"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（</w:t>
        </w:r>
        <w:r w:rsidR="001D7746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四</w:t>
        </w:r>
        <w:r w:rsidR="00527E11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）</w:t>
        </w:r>
        <w:r w:rsidR="00D81518" w:rsidRPr="00692D26">
          <w:rPr>
            <w:rStyle w:val="a3"/>
            <w:rFonts w:asciiTheme="minorEastAsia" w:eastAsiaTheme="minorEastAsia" w:hAnsiTheme="minorEastAsia" w:hint="eastAsia"/>
            <w:noProof/>
            <w:sz w:val="24"/>
          </w:rPr>
          <w:t>过程管理</w:t>
        </w:r>
        <w:r w:rsidR="00527E11" w:rsidRPr="00692D26">
          <w:rPr>
            <w:rFonts w:asciiTheme="minorEastAsia" w:eastAsiaTheme="minorEastAsia" w:hAnsiTheme="minorEastAsia"/>
            <w:noProof/>
            <w:webHidden/>
            <w:sz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noProof/>
          <w:sz w:val="24"/>
        </w:rPr>
        <w:t>1</w:t>
      </w:r>
    </w:p>
    <w:p w:rsidR="008E260B" w:rsidRPr="00692D26" w:rsidRDefault="007D641F" w:rsidP="00F17C07">
      <w:pPr>
        <w:pStyle w:val="20"/>
        <w:spacing w:line="400" w:lineRule="exact"/>
        <w:ind w:leftChars="0" w:left="0"/>
        <w:rPr>
          <w:rFonts w:asciiTheme="minorEastAsia" w:eastAsiaTheme="minorEastAsia" w:hAnsiTheme="minorEastAsia"/>
          <w:sz w:val="24"/>
          <w:szCs w:val="24"/>
        </w:rPr>
      </w:pPr>
      <w:hyperlink w:anchor="_Toc388080700" w:history="1">
        <w:r w:rsidR="008E260B" w:rsidRPr="008F5C5A">
          <w:rPr>
            <w:rStyle w:val="a3"/>
            <w:rFonts w:asciiTheme="minorEastAsia" w:eastAsiaTheme="minorEastAsia" w:hAnsiTheme="minorEastAsia" w:hint="eastAsia"/>
          </w:rPr>
          <w:t>第四部分</w:t>
        </w:r>
        <w:r w:rsidR="008E260B" w:rsidRPr="008F5C5A">
          <w:rPr>
            <w:rStyle w:val="a3"/>
            <w:rFonts w:asciiTheme="minorEastAsia" w:eastAsiaTheme="minorEastAsia" w:hAnsiTheme="minorEastAsia"/>
          </w:rPr>
          <w:t xml:space="preserve">  </w:t>
        </w:r>
        <w:r w:rsidR="00365417" w:rsidRPr="008F5C5A">
          <w:rPr>
            <w:rStyle w:val="a3"/>
            <w:rFonts w:asciiTheme="minorEastAsia" w:eastAsiaTheme="minorEastAsia" w:hAnsiTheme="minorEastAsia" w:hint="eastAsia"/>
          </w:rPr>
          <w:t>本专业存在问题、原因分析与改进措施</w:t>
        </w:r>
        <w:r w:rsidR="008E260B" w:rsidRPr="008F5C5A">
          <w:rPr>
            <w:rFonts w:asciiTheme="minorEastAsia" w:eastAsiaTheme="minorEastAsia" w:hAnsiTheme="minorEastAsia"/>
            <w:b w:val="0"/>
            <w:webHidden/>
            <w:sz w:val="24"/>
            <w:szCs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</w:p>
    <w:p w:rsidR="008E260B" w:rsidRPr="00692D26" w:rsidRDefault="007D641F" w:rsidP="00F17C07">
      <w:pPr>
        <w:pStyle w:val="20"/>
        <w:spacing w:line="400" w:lineRule="exact"/>
        <w:ind w:leftChars="0" w:left="0"/>
        <w:rPr>
          <w:rFonts w:asciiTheme="minorEastAsia" w:eastAsiaTheme="minorEastAsia" w:hAnsiTheme="minorEastAsia"/>
          <w:sz w:val="24"/>
          <w:szCs w:val="24"/>
        </w:rPr>
      </w:pPr>
      <w:hyperlink w:anchor="_Toc388080703" w:history="1">
        <w:r w:rsidR="00A51F0C" w:rsidRPr="008F5C5A">
          <w:rPr>
            <w:rStyle w:val="a3"/>
            <w:rFonts w:asciiTheme="minorEastAsia" w:eastAsiaTheme="minorEastAsia" w:hAnsiTheme="minorEastAsia" w:hint="eastAsia"/>
          </w:rPr>
          <w:t>附：</w:t>
        </w:r>
        <w:r w:rsidR="008E260B" w:rsidRPr="008F5C5A">
          <w:rPr>
            <w:rStyle w:val="a3"/>
            <w:rFonts w:asciiTheme="minorEastAsia" w:eastAsiaTheme="minorEastAsia" w:hAnsiTheme="minorEastAsia" w:hint="eastAsia"/>
          </w:rPr>
          <w:t>学士学位授予权单位自评结果表</w:t>
        </w:r>
        <w:r w:rsidR="008E260B" w:rsidRPr="008F5C5A">
          <w:rPr>
            <w:rFonts w:asciiTheme="minorEastAsia" w:eastAsiaTheme="minorEastAsia" w:hAnsiTheme="minorEastAsia"/>
            <w:b w:val="0"/>
            <w:webHidden/>
            <w:sz w:val="24"/>
            <w:szCs w:val="24"/>
          </w:rPr>
          <w:tab/>
        </w:r>
      </w:hyperlink>
      <w:r w:rsidR="00EE2571" w:rsidRPr="00692D26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</w:p>
    <w:p w:rsidR="008E260B" w:rsidRDefault="00DC1888" w:rsidP="00F17C07">
      <w:pPr>
        <w:spacing w:line="400" w:lineRule="exact"/>
        <w:rPr>
          <w:rFonts w:ascii="宋体" w:hAnsi="宋体"/>
          <w:sz w:val="28"/>
          <w:szCs w:val="28"/>
        </w:rPr>
      </w:pPr>
      <w:r w:rsidRPr="0051362B">
        <w:rPr>
          <w:rFonts w:ascii="宋体" w:hAnsi="宋体"/>
          <w:sz w:val="28"/>
          <w:szCs w:val="28"/>
        </w:rPr>
        <w:fldChar w:fldCharType="end"/>
      </w:r>
    </w:p>
    <w:p w:rsidR="002C401D" w:rsidRPr="00A12C9F" w:rsidRDefault="002C401D" w:rsidP="00A12C9F">
      <w:pPr>
        <w:widowControl/>
        <w:jc w:val="left"/>
        <w:rPr>
          <w:rFonts w:ascii="宋体" w:hAnsi="宋体"/>
          <w:sz w:val="28"/>
          <w:szCs w:val="28"/>
        </w:rPr>
        <w:sectPr w:rsidR="002C401D" w:rsidRPr="00A12C9F" w:rsidSect="002E1A5F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bookmarkStart w:id="1" w:name="_Toc388080690"/>
    </w:p>
    <w:p w:rsidR="008E260B" w:rsidRPr="0038159E" w:rsidRDefault="008E260B" w:rsidP="00A12C9F">
      <w:pPr>
        <w:pStyle w:val="2"/>
        <w:jc w:val="center"/>
        <w:rPr>
          <w:rFonts w:ascii="黑体" w:hAnsi="黑体"/>
          <w:b w:val="0"/>
          <w:sz w:val="36"/>
          <w:szCs w:val="36"/>
        </w:rPr>
      </w:pPr>
      <w:commentRangeStart w:id="2"/>
      <w:r w:rsidRPr="0038159E">
        <w:rPr>
          <w:rFonts w:ascii="黑体" w:hAnsi="黑体"/>
          <w:b w:val="0"/>
          <w:sz w:val="36"/>
          <w:szCs w:val="36"/>
        </w:rPr>
        <w:lastRenderedPageBreak/>
        <w:t xml:space="preserve">第一部分  </w:t>
      </w:r>
      <w:r w:rsidR="001578EB" w:rsidRPr="0038159E">
        <w:rPr>
          <w:rFonts w:ascii="黑体" w:hAnsi="黑体" w:hint="eastAsia"/>
          <w:b w:val="0"/>
          <w:sz w:val="36"/>
          <w:szCs w:val="36"/>
        </w:rPr>
        <w:t>学院</w:t>
      </w:r>
      <w:r w:rsidRPr="0038159E">
        <w:rPr>
          <w:rFonts w:ascii="黑体" w:hAnsi="黑体" w:hint="eastAsia"/>
          <w:b w:val="0"/>
          <w:sz w:val="36"/>
          <w:szCs w:val="36"/>
        </w:rPr>
        <w:t>概况</w:t>
      </w:r>
      <w:bookmarkEnd w:id="1"/>
      <w:commentRangeEnd w:id="2"/>
      <w:r w:rsidR="00CC220D" w:rsidRPr="0038159E">
        <w:rPr>
          <w:rStyle w:val="aa"/>
          <w:rFonts w:ascii="黑体" w:hAnsi="黑体"/>
          <w:b w:val="0"/>
          <w:bCs w:val="0"/>
          <w:sz w:val="36"/>
          <w:szCs w:val="36"/>
        </w:rPr>
        <w:commentReference w:id="2"/>
      </w:r>
    </w:p>
    <w:p w:rsidR="008E260B" w:rsidRPr="0071259E" w:rsidRDefault="008E260B" w:rsidP="00B24A04">
      <w:pPr>
        <w:spacing w:line="360" w:lineRule="auto"/>
        <w:ind w:firstLine="482"/>
        <w:rPr>
          <w:rFonts w:asciiTheme="minorEastAsia" w:eastAsiaTheme="minorEastAsia" w:hAnsiTheme="minorEastAsia"/>
          <w:color w:val="141414"/>
          <w:sz w:val="24"/>
        </w:rPr>
      </w:pPr>
      <w:commentRangeStart w:id="3"/>
      <w:r w:rsidRPr="00FE78A1">
        <w:rPr>
          <w:rFonts w:asciiTheme="minorEastAsia" w:eastAsiaTheme="minorEastAsia" w:hAnsiTheme="minorEastAsia" w:hint="eastAsia"/>
          <w:color w:val="141414"/>
          <w:sz w:val="24"/>
        </w:rPr>
        <w:t>江苏第二师范学院</w:t>
      </w:r>
      <w:r>
        <w:rPr>
          <w:rFonts w:asciiTheme="minorEastAsia" w:eastAsiaTheme="minorEastAsia" w:hAnsiTheme="minorEastAsia" w:hint="eastAsia"/>
          <w:color w:val="141414"/>
          <w:sz w:val="24"/>
        </w:rPr>
        <w:t>文学院为学校现有14个教学院部之一，</w:t>
      </w:r>
      <w:r w:rsidRPr="00FE78A1">
        <w:rPr>
          <w:rFonts w:asciiTheme="minorEastAsia" w:eastAsiaTheme="minorEastAsia" w:hAnsiTheme="minorEastAsia" w:hint="eastAsia"/>
          <w:color w:val="262626"/>
          <w:sz w:val="24"/>
        </w:rPr>
        <w:t>是</w:t>
      </w:r>
      <w:r>
        <w:rPr>
          <w:rFonts w:asciiTheme="minorEastAsia" w:eastAsiaTheme="minorEastAsia" w:hAnsiTheme="minorEastAsia" w:hint="eastAsia"/>
          <w:color w:val="262626"/>
          <w:sz w:val="24"/>
        </w:rPr>
        <w:t>一个</w:t>
      </w:r>
      <w:r w:rsidRPr="00FE78A1">
        <w:rPr>
          <w:rFonts w:asciiTheme="minorEastAsia" w:eastAsiaTheme="minorEastAsia" w:hAnsiTheme="minorEastAsia" w:hint="eastAsia"/>
          <w:color w:val="262626"/>
          <w:sz w:val="24"/>
        </w:rPr>
        <w:t>以</w:t>
      </w:r>
      <w:r>
        <w:rPr>
          <w:rFonts w:asciiTheme="minorEastAsia" w:eastAsiaTheme="minorEastAsia" w:hAnsiTheme="minorEastAsia" w:hint="eastAsia"/>
          <w:color w:val="262626"/>
          <w:sz w:val="24"/>
        </w:rPr>
        <w:t>中文专业为基础，以教师教育为特色，</w:t>
      </w:r>
      <w:r w:rsidRPr="00FE78A1">
        <w:rPr>
          <w:rFonts w:asciiTheme="minorEastAsia" w:eastAsiaTheme="minorEastAsia" w:hAnsiTheme="minorEastAsia" w:hint="eastAsia"/>
          <w:color w:val="262626"/>
          <w:sz w:val="24"/>
        </w:rPr>
        <w:t>以培养</w:t>
      </w:r>
      <w:r w:rsidR="001578EB">
        <w:rPr>
          <w:rFonts w:asciiTheme="minorEastAsia" w:eastAsiaTheme="minorEastAsia" w:hAnsiTheme="minorEastAsia" w:hint="eastAsia"/>
          <w:color w:val="262626"/>
          <w:sz w:val="24"/>
        </w:rPr>
        <w:t>基础教育</w:t>
      </w:r>
      <w:r>
        <w:rPr>
          <w:rFonts w:asciiTheme="minorEastAsia" w:eastAsiaTheme="minorEastAsia" w:hAnsiTheme="minorEastAsia" w:hint="eastAsia"/>
          <w:color w:val="262626"/>
          <w:sz w:val="24"/>
        </w:rPr>
        <w:t>语文</w:t>
      </w:r>
      <w:r w:rsidR="001578EB">
        <w:rPr>
          <w:rFonts w:asciiTheme="minorEastAsia" w:eastAsiaTheme="minorEastAsia" w:hAnsiTheme="minorEastAsia" w:hint="eastAsia"/>
          <w:color w:val="262626"/>
          <w:sz w:val="24"/>
        </w:rPr>
        <w:t>教学</w:t>
      </w:r>
      <w:r w:rsidRPr="00FE78A1">
        <w:rPr>
          <w:rFonts w:asciiTheme="minorEastAsia" w:eastAsiaTheme="minorEastAsia" w:hAnsiTheme="minorEastAsia" w:hint="eastAsia"/>
          <w:color w:val="262626"/>
          <w:sz w:val="24"/>
        </w:rPr>
        <w:t>师资为重点的</w:t>
      </w:r>
      <w:r>
        <w:rPr>
          <w:rFonts w:asciiTheme="minorEastAsia" w:eastAsiaTheme="minorEastAsia" w:hAnsiTheme="minorEastAsia" w:hint="eastAsia"/>
          <w:color w:val="262626"/>
          <w:sz w:val="24"/>
        </w:rPr>
        <w:t>校设二级学院</w:t>
      </w:r>
      <w:r w:rsidRPr="00FE78A1">
        <w:rPr>
          <w:rFonts w:asciiTheme="minorEastAsia" w:eastAsiaTheme="minorEastAsia" w:hAnsiTheme="minorEastAsia" w:hint="eastAsia"/>
          <w:color w:val="141414"/>
          <w:sz w:val="24"/>
        </w:rPr>
        <w:t>。</w:t>
      </w:r>
      <w:r w:rsidRPr="0071259E">
        <w:rPr>
          <w:rFonts w:asciiTheme="minorEastAsia" w:eastAsiaTheme="minorEastAsia" w:hAnsiTheme="minorEastAsia" w:hint="eastAsia"/>
          <w:color w:val="141414"/>
          <w:sz w:val="24"/>
        </w:rPr>
        <w:t>汉语言文学专业现为</w:t>
      </w:r>
      <w:r w:rsidRPr="0071259E">
        <w:rPr>
          <w:rFonts w:ascii="宋体" w:hAnsi="宋体"/>
          <w:color w:val="000000"/>
          <w:sz w:val="24"/>
        </w:rPr>
        <w:t>江苏省高等学校“十二五”重点</w:t>
      </w:r>
      <w:r w:rsidRPr="0071259E">
        <w:rPr>
          <w:rFonts w:ascii="宋体" w:hAnsi="宋体" w:hint="eastAsia"/>
          <w:color w:val="000000"/>
          <w:sz w:val="24"/>
        </w:rPr>
        <w:t>建设</w:t>
      </w:r>
      <w:r w:rsidRPr="0071259E">
        <w:rPr>
          <w:rFonts w:ascii="宋体" w:hAnsi="宋体"/>
          <w:color w:val="000000"/>
          <w:sz w:val="24"/>
        </w:rPr>
        <w:t>专业、江苏省成人高等教育特色专业，拥有中国古代文学、语文课程与教学论等省级精品课程。</w:t>
      </w:r>
      <w:r>
        <w:rPr>
          <w:rFonts w:ascii="宋体" w:hAnsi="宋体" w:hint="eastAsia"/>
          <w:color w:val="000000"/>
          <w:sz w:val="24"/>
        </w:rPr>
        <w:t>中国语言文学学科为江苏省“十三五”重点建设学科。</w:t>
      </w:r>
      <w:commentRangeEnd w:id="3"/>
      <w:r w:rsidR="0059402B">
        <w:rPr>
          <w:rStyle w:val="aa"/>
        </w:rPr>
        <w:commentReference w:id="3"/>
      </w:r>
    </w:p>
    <w:p w:rsidR="008E260B" w:rsidRPr="0076377A" w:rsidRDefault="008E260B" w:rsidP="00B24A04">
      <w:pPr>
        <w:spacing w:line="360" w:lineRule="auto"/>
        <w:ind w:firstLine="482"/>
        <w:rPr>
          <w:rFonts w:ascii="宋体" w:hAnsi="宋体"/>
          <w:sz w:val="24"/>
        </w:rPr>
      </w:pPr>
      <w:r w:rsidRPr="00FE78A1">
        <w:rPr>
          <w:rFonts w:asciiTheme="minorEastAsia" w:eastAsiaTheme="minorEastAsia" w:hAnsiTheme="minorEastAsia"/>
          <w:color w:val="333333"/>
          <w:sz w:val="24"/>
        </w:rPr>
        <w:t>1952</w:t>
      </w:r>
      <w:r>
        <w:rPr>
          <w:rFonts w:asciiTheme="minorEastAsia" w:eastAsiaTheme="minorEastAsia" w:hAnsiTheme="minorEastAsia" w:hint="eastAsia"/>
          <w:color w:val="333333"/>
          <w:sz w:val="24"/>
        </w:rPr>
        <w:t>学校建校伊始，即设立语文教研组，编写语文教材教学大纲，举办初、高中语文教师脱产进修班、速成班、专修班、研究班等</w:t>
      </w:r>
      <w:r w:rsidR="00452D09">
        <w:rPr>
          <w:rFonts w:asciiTheme="minorEastAsia" w:eastAsiaTheme="minorEastAsia" w:hAnsiTheme="minorEastAsia"/>
          <w:color w:val="333333"/>
          <w:sz w:val="24"/>
        </w:rPr>
        <w:t>…</w:t>
      </w:r>
    </w:p>
    <w:p w:rsidR="008E260B" w:rsidRPr="00452D09" w:rsidRDefault="008E260B" w:rsidP="008E260B">
      <w:pPr>
        <w:pStyle w:val="2"/>
        <w:jc w:val="center"/>
        <w:rPr>
          <w:rFonts w:ascii="黑体" w:hAnsi="黑体"/>
          <w:b w:val="0"/>
          <w:sz w:val="36"/>
          <w:szCs w:val="36"/>
        </w:rPr>
      </w:pPr>
      <w:bookmarkStart w:id="4" w:name="_Toc388080691"/>
      <w:r w:rsidRPr="00452D09">
        <w:rPr>
          <w:rFonts w:ascii="黑体" w:hAnsi="黑体"/>
          <w:b w:val="0"/>
          <w:sz w:val="36"/>
          <w:szCs w:val="36"/>
        </w:rPr>
        <w:t>第</w:t>
      </w:r>
      <w:r w:rsidRPr="00452D09">
        <w:rPr>
          <w:rFonts w:ascii="黑体" w:hAnsi="黑体" w:hint="eastAsia"/>
          <w:b w:val="0"/>
          <w:sz w:val="36"/>
          <w:szCs w:val="36"/>
        </w:rPr>
        <w:t>二</w:t>
      </w:r>
      <w:r w:rsidRPr="00452D09">
        <w:rPr>
          <w:rFonts w:ascii="黑体" w:hAnsi="黑体"/>
          <w:b w:val="0"/>
          <w:sz w:val="36"/>
          <w:szCs w:val="36"/>
        </w:rPr>
        <w:t xml:space="preserve">部分  </w:t>
      </w:r>
      <w:r w:rsidRPr="00452D09">
        <w:rPr>
          <w:rFonts w:ascii="黑体" w:hAnsi="黑体" w:hint="eastAsia"/>
          <w:b w:val="0"/>
          <w:sz w:val="36"/>
          <w:szCs w:val="36"/>
        </w:rPr>
        <w:t>评建工作</w:t>
      </w:r>
      <w:bookmarkEnd w:id="4"/>
    </w:p>
    <w:p w:rsidR="008E260B" w:rsidRDefault="008E260B" w:rsidP="0087427B">
      <w:pPr>
        <w:spacing w:line="360" w:lineRule="auto"/>
        <w:ind w:firstLineChars="200" w:firstLine="480"/>
        <w:rPr>
          <w:rFonts w:ascii="宋体" w:hAnsi="宋体"/>
          <w:sz w:val="24"/>
        </w:rPr>
      </w:pPr>
      <w:commentRangeStart w:id="5"/>
      <w:r w:rsidRPr="00BE1394">
        <w:rPr>
          <w:rFonts w:ascii="宋体" w:hAnsi="宋体" w:hint="eastAsia"/>
          <w:sz w:val="24"/>
        </w:rPr>
        <w:t>学士学位授权评</w:t>
      </w:r>
      <w:r>
        <w:rPr>
          <w:rFonts w:ascii="宋体" w:hAnsi="宋体" w:hint="eastAsia"/>
          <w:sz w:val="24"/>
        </w:rPr>
        <w:t>审是对</w:t>
      </w:r>
      <w:r w:rsidRPr="00BE1394">
        <w:rPr>
          <w:rFonts w:ascii="宋体" w:hAnsi="宋体" w:hint="eastAsia"/>
          <w:sz w:val="24"/>
        </w:rPr>
        <w:t>本科教育教学质量的一次全面检查和综合性评估。</w:t>
      </w:r>
      <w:r w:rsidR="00AC05DF">
        <w:rPr>
          <w:rFonts w:ascii="宋体" w:hAnsi="宋体" w:hint="eastAsia"/>
          <w:sz w:val="24"/>
        </w:rPr>
        <w:t>学校转设更名之</w:t>
      </w:r>
      <w:r>
        <w:rPr>
          <w:rFonts w:ascii="宋体" w:hAnsi="宋体" w:hint="eastAsia"/>
          <w:sz w:val="24"/>
        </w:rPr>
        <w:t>后，文学院</w:t>
      </w:r>
      <w:r w:rsidRPr="00BE1394">
        <w:rPr>
          <w:rFonts w:ascii="宋体" w:hAnsi="宋体" w:hint="eastAsia"/>
          <w:sz w:val="24"/>
        </w:rPr>
        <w:t>高度重视并积极准备</w:t>
      </w:r>
      <w:r w:rsidR="00AC05DF">
        <w:rPr>
          <w:rFonts w:ascii="宋体" w:hAnsi="宋体" w:hint="eastAsia"/>
          <w:sz w:val="24"/>
        </w:rPr>
        <w:t>汉语言文学专业</w:t>
      </w:r>
      <w:r w:rsidRPr="00BE1394">
        <w:rPr>
          <w:rFonts w:ascii="宋体" w:hAnsi="宋体" w:hint="eastAsia"/>
          <w:sz w:val="24"/>
        </w:rPr>
        <w:t>学士学位授</w:t>
      </w:r>
      <w:r>
        <w:rPr>
          <w:rFonts w:ascii="宋体" w:hAnsi="宋体" w:hint="eastAsia"/>
          <w:sz w:val="24"/>
        </w:rPr>
        <w:t>予</w:t>
      </w:r>
      <w:r w:rsidR="00AC05DF">
        <w:rPr>
          <w:rFonts w:ascii="宋体" w:hAnsi="宋体" w:hint="eastAsia"/>
          <w:sz w:val="24"/>
        </w:rPr>
        <w:t>权</w:t>
      </w:r>
      <w:r>
        <w:rPr>
          <w:rFonts w:ascii="宋体" w:hAnsi="宋体" w:hint="eastAsia"/>
          <w:sz w:val="24"/>
        </w:rPr>
        <w:t>的</w:t>
      </w:r>
      <w:r w:rsidRPr="00626B9B">
        <w:rPr>
          <w:rFonts w:ascii="宋体" w:hAnsi="宋体"/>
          <w:sz w:val="24"/>
        </w:rPr>
        <w:t>评建工作</w:t>
      </w:r>
      <w:r w:rsidRPr="00BE1394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将迎评促建视</w:t>
      </w:r>
      <w:r w:rsidRPr="00626B9B">
        <w:rPr>
          <w:rFonts w:ascii="宋体" w:hAnsi="宋体"/>
          <w:sz w:val="24"/>
        </w:rPr>
        <w:t>为全面提升教育教学质量</w:t>
      </w:r>
      <w:r w:rsidRPr="005C0E54">
        <w:rPr>
          <w:rFonts w:ascii="宋体" w:hAnsi="宋体" w:hint="eastAsia"/>
          <w:sz w:val="24"/>
        </w:rPr>
        <w:t>、规范教学管理</w:t>
      </w:r>
      <w:r>
        <w:rPr>
          <w:rFonts w:ascii="宋体" w:hAnsi="宋体"/>
          <w:sz w:val="24"/>
        </w:rPr>
        <w:t>、促进</w:t>
      </w:r>
      <w:r w:rsidR="00AC05DF">
        <w:rPr>
          <w:rFonts w:ascii="宋体" w:hAnsi="宋体" w:hint="eastAsia"/>
          <w:sz w:val="24"/>
        </w:rPr>
        <w:t>学科专业</w:t>
      </w:r>
      <w:r w:rsidRPr="00626B9B">
        <w:rPr>
          <w:rFonts w:ascii="宋体" w:hAnsi="宋体"/>
          <w:sz w:val="24"/>
        </w:rPr>
        <w:t>建设发展的一次历史性机遇</w:t>
      </w:r>
      <w:r>
        <w:rPr>
          <w:rFonts w:ascii="宋体" w:hAnsi="宋体" w:hint="eastAsia"/>
          <w:sz w:val="24"/>
        </w:rPr>
        <w:t>，</w:t>
      </w:r>
      <w:r w:rsidRPr="00626B9B">
        <w:rPr>
          <w:rFonts w:ascii="宋体" w:hAnsi="宋体"/>
          <w:sz w:val="24"/>
        </w:rPr>
        <w:t>认真贯彻</w:t>
      </w:r>
      <w:r w:rsidRPr="00626B9B">
        <w:rPr>
          <w:rFonts w:ascii="宋体" w:hAnsi="宋体" w:hint="eastAsia"/>
          <w:sz w:val="24"/>
        </w:rPr>
        <w:t>“</w:t>
      </w:r>
      <w:r w:rsidRPr="00626B9B">
        <w:rPr>
          <w:rFonts w:ascii="宋体" w:hAnsi="宋体"/>
          <w:sz w:val="24"/>
        </w:rPr>
        <w:t>以评促建，以评促改，以评促管，评建结合，重在建设</w:t>
      </w:r>
      <w:r w:rsidRPr="00626B9B">
        <w:rPr>
          <w:rFonts w:ascii="宋体" w:hAnsi="宋体" w:hint="eastAsia"/>
          <w:sz w:val="24"/>
        </w:rPr>
        <w:t>”</w:t>
      </w:r>
      <w:r>
        <w:rPr>
          <w:rFonts w:ascii="宋体" w:hAnsi="宋体"/>
          <w:sz w:val="24"/>
        </w:rPr>
        <w:t>的工作方针，以积极的态度</w:t>
      </w:r>
      <w:r w:rsidR="00AC05DF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大力加强</w:t>
      </w:r>
      <w:r w:rsidRPr="00626B9B">
        <w:rPr>
          <w:rFonts w:ascii="宋体" w:hAnsi="宋体"/>
          <w:sz w:val="24"/>
        </w:rPr>
        <w:t>内涵建设，不断深化教育教学改革</w:t>
      </w:r>
      <w:r>
        <w:rPr>
          <w:rFonts w:ascii="宋体" w:hAnsi="宋体" w:hint="eastAsia"/>
          <w:sz w:val="24"/>
        </w:rPr>
        <w:t>，推进文学院</w:t>
      </w:r>
      <w:r w:rsidRPr="005C0E54">
        <w:rPr>
          <w:rFonts w:ascii="宋体" w:hAnsi="宋体" w:hint="eastAsia"/>
          <w:sz w:val="24"/>
        </w:rPr>
        <w:t>各项工作</w:t>
      </w:r>
      <w:r>
        <w:rPr>
          <w:rFonts w:ascii="宋体" w:hAnsi="宋体" w:hint="eastAsia"/>
          <w:sz w:val="24"/>
        </w:rPr>
        <w:t>。</w:t>
      </w:r>
      <w:commentRangeEnd w:id="5"/>
      <w:r w:rsidR="00857974">
        <w:rPr>
          <w:rStyle w:val="aa"/>
        </w:rPr>
        <w:commentReference w:id="5"/>
      </w:r>
    </w:p>
    <w:p w:rsidR="00AC05DF" w:rsidRDefault="00AC05DF" w:rsidP="0087427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实现，</w:t>
      </w:r>
      <w:r w:rsidRPr="00ED7E0E">
        <w:rPr>
          <w:rFonts w:ascii="宋体" w:hAnsi="宋体" w:hint="eastAsia"/>
          <w:sz w:val="24"/>
        </w:rPr>
        <w:t>明确工作思路，强调迎评与建设</w:t>
      </w:r>
      <w:r>
        <w:rPr>
          <w:rFonts w:ascii="宋体" w:hAnsi="宋体" w:hint="eastAsia"/>
          <w:sz w:val="24"/>
        </w:rPr>
        <w:t>的</w:t>
      </w:r>
      <w:r w:rsidRPr="00ED7E0E">
        <w:rPr>
          <w:rFonts w:ascii="宋体" w:hAnsi="宋体" w:hint="eastAsia"/>
          <w:sz w:val="24"/>
        </w:rPr>
        <w:t>有机</w:t>
      </w:r>
      <w:r>
        <w:rPr>
          <w:rFonts w:ascii="宋体" w:hAnsi="宋体" w:hint="eastAsia"/>
          <w:sz w:val="24"/>
        </w:rPr>
        <w:t>结</w:t>
      </w:r>
      <w:r w:rsidRPr="00ED7E0E">
        <w:rPr>
          <w:rFonts w:ascii="宋体" w:hAnsi="宋体" w:hint="eastAsia"/>
          <w:sz w:val="24"/>
        </w:rPr>
        <w:t>合。</w:t>
      </w:r>
      <w:r>
        <w:rPr>
          <w:rFonts w:ascii="宋体" w:hAnsi="宋体" w:hint="eastAsia"/>
          <w:sz w:val="24"/>
        </w:rPr>
        <w:t>文学院领导班子</w:t>
      </w:r>
      <w:r w:rsidRPr="00BE1394">
        <w:rPr>
          <w:rFonts w:ascii="宋体" w:hAnsi="宋体" w:hint="eastAsia"/>
          <w:sz w:val="24"/>
        </w:rPr>
        <w:t>多次召开专题会议</w:t>
      </w:r>
      <w:r>
        <w:rPr>
          <w:rFonts w:ascii="宋体" w:hAnsi="宋体" w:hint="eastAsia"/>
          <w:sz w:val="24"/>
        </w:rPr>
        <w:t>，</w:t>
      </w:r>
      <w:r w:rsidRPr="00BE1394">
        <w:rPr>
          <w:rFonts w:ascii="宋体" w:hAnsi="宋体" w:hint="eastAsia"/>
          <w:sz w:val="24"/>
        </w:rPr>
        <w:t>研究部署学士学位授</w:t>
      </w:r>
      <w:r>
        <w:rPr>
          <w:rFonts w:ascii="宋体" w:hAnsi="宋体" w:hint="eastAsia"/>
          <w:sz w:val="24"/>
        </w:rPr>
        <w:t>予</w:t>
      </w:r>
      <w:r w:rsidRPr="00BE1394">
        <w:rPr>
          <w:rFonts w:ascii="宋体" w:hAnsi="宋体" w:hint="eastAsia"/>
          <w:sz w:val="24"/>
        </w:rPr>
        <w:t>权评审迎评工作，</w:t>
      </w:r>
      <w:r w:rsidRPr="00ED7E0E">
        <w:rPr>
          <w:rFonts w:ascii="宋体" w:hAnsi="宋体" w:hint="eastAsia"/>
          <w:sz w:val="24"/>
        </w:rPr>
        <w:t>提出了以规范化建设为基础</w:t>
      </w:r>
      <w:r>
        <w:rPr>
          <w:rFonts w:ascii="宋体" w:hAnsi="宋体" w:hint="eastAsia"/>
          <w:sz w:val="24"/>
        </w:rPr>
        <w:t>、以提高教育质量为目标的评建工作总体思路，以接受学士学位授权</w:t>
      </w:r>
      <w:r w:rsidRPr="00ED7E0E">
        <w:rPr>
          <w:rFonts w:ascii="宋体" w:hAnsi="宋体" w:hint="eastAsia"/>
          <w:sz w:val="24"/>
        </w:rPr>
        <w:t>评审为契机</w:t>
      </w:r>
      <w:r>
        <w:rPr>
          <w:rFonts w:ascii="宋体" w:hAnsi="宋体" w:hint="eastAsia"/>
          <w:sz w:val="24"/>
        </w:rPr>
        <w:t>，</w:t>
      </w:r>
      <w:r w:rsidRPr="00ED7E0E">
        <w:rPr>
          <w:rFonts w:ascii="宋体" w:hAnsi="宋体" w:hint="eastAsia"/>
          <w:sz w:val="24"/>
        </w:rPr>
        <w:t>进一步整改提高，全面推进</w:t>
      </w:r>
      <w:r>
        <w:rPr>
          <w:rFonts w:ascii="宋体" w:hAnsi="宋体" w:hint="eastAsia"/>
          <w:sz w:val="24"/>
        </w:rPr>
        <w:t>文学院的</w:t>
      </w:r>
      <w:r w:rsidRPr="00ED7E0E">
        <w:rPr>
          <w:rFonts w:ascii="宋体" w:hAnsi="宋体" w:hint="eastAsia"/>
          <w:sz w:val="24"/>
        </w:rPr>
        <w:t>建设和发展。</w:t>
      </w:r>
    </w:p>
    <w:p w:rsidR="008E260B" w:rsidRPr="005C0E54" w:rsidRDefault="00AC05DF" w:rsidP="0087427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其次</w:t>
      </w:r>
      <w:r w:rsidR="008E260B">
        <w:rPr>
          <w:rFonts w:ascii="宋体" w:hAnsi="宋体" w:hint="eastAsia"/>
          <w:sz w:val="24"/>
        </w:rPr>
        <w:t>，</w:t>
      </w:r>
      <w:r w:rsidR="008E260B" w:rsidRPr="00ED7E0E">
        <w:rPr>
          <w:rFonts w:ascii="宋体" w:hAnsi="宋体" w:hint="eastAsia"/>
          <w:sz w:val="24"/>
        </w:rPr>
        <w:t>强化组织领导，确保评建工作扎实有序开展。</w:t>
      </w:r>
      <w:r w:rsidR="008E260B">
        <w:rPr>
          <w:rFonts w:ascii="宋体" w:hAnsi="宋体" w:hint="eastAsia"/>
          <w:sz w:val="24"/>
        </w:rPr>
        <w:t>我们</w:t>
      </w:r>
      <w:r w:rsidR="008E260B" w:rsidRPr="00626B9B">
        <w:rPr>
          <w:rFonts w:ascii="宋体" w:hAnsi="宋体" w:hint="eastAsia"/>
          <w:sz w:val="24"/>
        </w:rPr>
        <w:t>制定了《</w:t>
      </w:r>
      <w:r w:rsidR="008E260B">
        <w:rPr>
          <w:rFonts w:ascii="宋体" w:hAnsi="宋体" w:hint="eastAsia"/>
          <w:sz w:val="24"/>
        </w:rPr>
        <w:t>文学院</w:t>
      </w:r>
      <w:r w:rsidR="008E260B" w:rsidRPr="00626B9B">
        <w:rPr>
          <w:rFonts w:ascii="宋体" w:hAnsi="宋体" w:hint="eastAsia"/>
          <w:sz w:val="24"/>
        </w:rPr>
        <w:t>迎接学士学位授予权评审工作方案》，</w:t>
      </w:r>
      <w:r w:rsidR="008E260B" w:rsidRPr="00BE1394">
        <w:rPr>
          <w:rFonts w:ascii="宋体" w:hAnsi="宋体" w:hint="eastAsia"/>
          <w:sz w:val="24"/>
        </w:rPr>
        <w:t>成立了</w:t>
      </w:r>
      <w:r w:rsidR="008E260B">
        <w:rPr>
          <w:rFonts w:ascii="宋体" w:hAnsi="宋体" w:hint="eastAsia"/>
          <w:sz w:val="24"/>
        </w:rPr>
        <w:t>文学院</w:t>
      </w:r>
      <w:r w:rsidR="008E260B" w:rsidRPr="00BE1394">
        <w:rPr>
          <w:rFonts w:ascii="宋体" w:hAnsi="宋体" w:hint="eastAsia"/>
          <w:sz w:val="24"/>
        </w:rPr>
        <w:t>迎评工作小组，完善迎评工作的组织建设，将工作任务细化分解</w:t>
      </w:r>
      <w:r>
        <w:rPr>
          <w:rFonts w:ascii="宋体" w:hAnsi="宋体" w:hint="eastAsia"/>
          <w:sz w:val="24"/>
        </w:rPr>
        <w:t>，</w:t>
      </w:r>
      <w:r w:rsidR="008E260B" w:rsidRPr="00BE1394">
        <w:rPr>
          <w:rFonts w:ascii="宋体" w:hAnsi="宋体" w:hint="eastAsia"/>
          <w:sz w:val="24"/>
        </w:rPr>
        <w:t>落实到具体人员，建立起横向配合有序、纵向沟通顺畅的迎评工作机制。</w:t>
      </w:r>
    </w:p>
    <w:p w:rsidR="008E260B" w:rsidRPr="00BE1394" w:rsidRDefault="008E260B" w:rsidP="0087427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D7E0E">
        <w:rPr>
          <w:rFonts w:ascii="宋体" w:hAnsi="宋体" w:hint="eastAsia"/>
          <w:sz w:val="24"/>
        </w:rPr>
        <w:t>第三，统一思想认识，形成全员参与评建工作的格局。</w:t>
      </w:r>
      <w:r w:rsidRPr="00BE1394">
        <w:rPr>
          <w:rFonts w:ascii="宋体" w:hAnsi="宋体" w:hint="eastAsia"/>
          <w:sz w:val="24"/>
        </w:rPr>
        <w:t>在详细研究国务院、省教育厅对学士学位授权评估工作的要求和评估指标内涵的基础上，</w:t>
      </w:r>
      <w:r>
        <w:rPr>
          <w:rFonts w:ascii="宋体" w:hAnsi="宋体" w:hint="eastAsia"/>
          <w:sz w:val="24"/>
        </w:rPr>
        <w:t>文学院</w:t>
      </w:r>
      <w:r w:rsidRPr="00BE1394">
        <w:rPr>
          <w:rFonts w:ascii="宋体" w:hAnsi="宋体" w:hint="eastAsia"/>
          <w:sz w:val="24"/>
        </w:rPr>
        <w:t>先后制</w:t>
      </w:r>
      <w:r>
        <w:rPr>
          <w:rFonts w:ascii="宋体" w:hAnsi="宋体" w:hint="eastAsia"/>
          <w:sz w:val="24"/>
        </w:rPr>
        <w:t>订</w:t>
      </w:r>
      <w:r w:rsidRPr="00BE1394">
        <w:rPr>
          <w:rFonts w:ascii="宋体" w:hAnsi="宋体" w:hint="eastAsia"/>
          <w:sz w:val="24"/>
        </w:rPr>
        <w:t>了《迎评工作任务分解表》</w:t>
      </w:r>
      <w:r w:rsidR="00AC05DF">
        <w:rPr>
          <w:rFonts w:ascii="宋体" w:hAnsi="宋体" w:hint="eastAsia"/>
          <w:sz w:val="24"/>
        </w:rPr>
        <w:t>，</w:t>
      </w:r>
      <w:r w:rsidRPr="00BE1394">
        <w:rPr>
          <w:rFonts w:ascii="宋体" w:hAnsi="宋体" w:hint="eastAsia"/>
          <w:sz w:val="24"/>
        </w:rPr>
        <w:t>拟定了</w:t>
      </w:r>
      <w:r w:rsidR="000D1827">
        <w:rPr>
          <w:rFonts w:ascii="宋体" w:hAnsi="宋体" w:hint="eastAsia"/>
          <w:sz w:val="24"/>
        </w:rPr>
        <w:t>“学士学位授权专业评审</w:t>
      </w:r>
      <w:r w:rsidR="000D1827" w:rsidRPr="00BE1394">
        <w:rPr>
          <w:rFonts w:ascii="宋体" w:hAnsi="宋体" w:hint="eastAsia"/>
          <w:sz w:val="24"/>
        </w:rPr>
        <w:t>支撑材料建档目录指南</w:t>
      </w:r>
      <w:r w:rsidR="000D1827">
        <w:rPr>
          <w:rFonts w:ascii="宋体" w:hAnsi="宋体" w:hint="eastAsia"/>
          <w:sz w:val="24"/>
        </w:rPr>
        <w:t>”</w:t>
      </w:r>
      <w:r w:rsidRPr="00BE1394">
        <w:rPr>
          <w:rFonts w:ascii="宋体" w:hAnsi="宋体" w:hint="eastAsia"/>
          <w:sz w:val="24"/>
        </w:rPr>
        <w:t>等一系列规范</w:t>
      </w:r>
      <w:r w:rsidR="000D1827">
        <w:rPr>
          <w:rFonts w:ascii="宋体" w:hAnsi="宋体" w:hint="eastAsia"/>
          <w:sz w:val="24"/>
        </w:rPr>
        <w:t>条理</w:t>
      </w:r>
      <w:r w:rsidRPr="00BE1394">
        <w:rPr>
          <w:rFonts w:ascii="宋体" w:hAnsi="宋体" w:hint="eastAsia"/>
          <w:sz w:val="24"/>
        </w:rPr>
        <w:t>，建立</w:t>
      </w:r>
      <w:r w:rsidR="00857974">
        <w:rPr>
          <w:rFonts w:ascii="宋体" w:hAnsi="宋体" w:hint="eastAsia"/>
          <w:sz w:val="24"/>
        </w:rPr>
        <w:t>迎评工作的制度保障体系</w:t>
      </w:r>
      <w:r w:rsidR="00857974">
        <w:rPr>
          <w:rFonts w:ascii="宋体" w:hAnsi="宋体"/>
          <w:sz w:val="24"/>
        </w:rPr>
        <w:t>…</w:t>
      </w:r>
    </w:p>
    <w:p w:rsidR="008E260B" w:rsidRPr="00C33C29" w:rsidRDefault="008E260B" w:rsidP="0087427B">
      <w:pPr>
        <w:pStyle w:val="2"/>
        <w:spacing w:line="360" w:lineRule="auto"/>
        <w:jc w:val="center"/>
        <w:rPr>
          <w:rFonts w:ascii="黑体" w:hAnsi="黑体"/>
          <w:b w:val="0"/>
          <w:sz w:val="36"/>
          <w:szCs w:val="36"/>
        </w:rPr>
      </w:pPr>
      <w:bookmarkStart w:id="6" w:name="_Toc388080692"/>
      <w:r w:rsidRPr="00C33C29">
        <w:rPr>
          <w:rFonts w:ascii="黑体" w:hAnsi="黑体"/>
          <w:b w:val="0"/>
          <w:sz w:val="36"/>
          <w:szCs w:val="36"/>
        </w:rPr>
        <w:lastRenderedPageBreak/>
        <w:t xml:space="preserve">第三部分  </w:t>
      </w:r>
      <w:r w:rsidRPr="00C33C29">
        <w:rPr>
          <w:rFonts w:ascii="黑体" w:hAnsi="黑体" w:hint="eastAsia"/>
          <w:b w:val="0"/>
          <w:sz w:val="36"/>
          <w:szCs w:val="36"/>
        </w:rPr>
        <w:t>本科办学及建设成绩</w:t>
      </w:r>
      <w:bookmarkEnd w:id="6"/>
    </w:p>
    <w:p w:rsidR="008E260B" w:rsidRPr="00490B0C" w:rsidRDefault="008E260B" w:rsidP="0087427B">
      <w:pPr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commentRangeStart w:id="7"/>
      <w:r w:rsidRPr="00490B0C">
        <w:rPr>
          <w:rFonts w:ascii="黑体" w:eastAsia="黑体" w:hAnsi="黑体" w:hint="eastAsia"/>
          <w:sz w:val="32"/>
          <w:szCs w:val="32"/>
        </w:rPr>
        <w:t>一、</w:t>
      </w:r>
      <w:r w:rsidRPr="00062861">
        <w:rPr>
          <w:rFonts w:ascii="黑体" w:eastAsia="黑体" w:hAnsi="黑体" w:hint="eastAsia"/>
          <w:sz w:val="32"/>
          <w:szCs w:val="32"/>
        </w:rPr>
        <w:t>专业</w:t>
      </w:r>
      <w:r w:rsidR="00053CAF" w:rsidRPr="00062861">
        <w:rPr>
          <w:rFonts w:ascii="黑体" w:eastAsia="黑体" w:hAnsi="黑体" w:hint="eastAsia"/>
          <w:sz w:val="32"/>
          <w:szCs w:val="32"/>
        </w:rPr>
        <w:t>建</w:t>
      </w:r>
      <w:r w:rsidR="00053CAF">
        <w:rPr>
          <w:rFonts w:ascii="黑体" w:eastAsia="黑体" w:hAnsi="黑体" w:hint="eastAsia"/>
          <w:sz w:val="32"/>
          <w:szCs w:val="32"/>
        </w:rPr>
        <w:t>设及人才培养方案</w:t>
      </w:r>
      <w:commentRangeEnd w:id="7"/>
      <w:r w:rsidR="00062861">
        <w:rPr>
          <w:rStyle w:val="aa"/>
        </w:rPr>
        <w:commentReference w:id="7"/>
      </w:r>
    </w:p>
    <w:p w:rsidR="008E260B" w:rsidRDefault="008E260B" w:rsidP="0087427B">
      <w:pPr>
        <w:spacing w:line="360" w:lineRule="auto"/>
        <w:ind w:firstLineChars="200" w:firstLine="480"/>
        <w:rPr>
          <w:rFonts w:ascii="宋体" w:hAnsi="宋体"/>
          <w:sz w:val="24"/>
        </w:rPr>
      </w:pPr>
      <w:commentRangeStart w:id="8"/>
      <w:r>
        <w:rPr>
          <w:rFonts w:ascii="宋体" w:hAnsi="宋体" w:hint="eastAsia"/>
          <w:sz w:val="24"/>
        </w:rPr>
        <w:t>本专业始终坚持</w:t>
      </w:r>
      <w:r>
        <w:rPr>
          <w:rFonts w:ascii="宋体" w:hAnsi="宋体"/>
          <w:sz w:val="24"/>
        </w:rPr>
        <w:t>全面贯彻党的教育方针，遵循高等教育规律</w:t>
      </w:r>
      <w:r>
        <w:rPr>
          <w:rFonts w:ascii="宋体" w:hAnsi="宋体" w:hint="eastAsia"/>
          <w:sz w:val="24"/>
        </w:rPr>
        <w:t>，秉承优良的办学传统，根据当下中小学语文教育实际</w:t>
      </w:r>
      <w:r>
        <w:rPr>
          <w:rFonts w:ascii="宋体" w:hAnsi="宋体"/>
          <w:sz w:val="24"/>
        </w:rPr>
        <w:t>和区域经济社会发展</w:t>
      </w:r>
      <w:r w:rsidR="000D1827">
        <w:rPr>
          <w:rFonts w:ascii="宋体" w:hAnsi="宋体" w:hint="eastAsia"/>
          <w:sz w:val="24"/>
        </w:rPr>
        <w:t>需求</w:t>
      </w:r>
      <w:r>
        <w:rPr>
          <w:rFonts w:ascii="宋体" w:hAnsi="宋体" w:hint="eastAsia"/>
          <w:sz w:val="24"/>
        </w:rPr>
        <w:t>，尤其在2013年</w:t>
      </w:r>
      <w:proofErr w:type="gramStart"/>
      <w:r>
        <w:rPr>
          <w:rFonts w:ascii="宋体" w:hAnsi="宋体" w:hint="eastAsia"/>
          <w:sz w:val="24"/>
        </w:rPr>
        <w:t>学院</w:t>
      </w:r>
      <w:r w:rsidR="000D1827">
        <w:rPr>
          <w:rFonts w:ascii="宋体" w:hAnsi="宋体" w:hint="eastAsia"/>
          <w:sz w:val="24"/>
        </w:rPr>
        <w:t>转设更名</w:t>
      </w:r>
      <w:proofErr w:type="gramEnd"/>
      <w:r w:rsidR="000D1827">
        <w:rPr>
          <w:rFonts w:ascii="宋体" w:hAnsi="宋体" w:hint="eastAsia"/>
          <w:sz w:val="24"/>
        </w:rPr>
        <w:t>以后</w:t>
      </w:r>
      <w:r w:rsidR="000E7396">
        <w:rPr>
          <w:rFonts w:ascii="宋体" w:hAnsi="宋体"/>
          <w:sz w:val="24"/>
        </w:rPr>
        <w:t>…</w:t>
      </w:r>
      <w:commentRangeEnd w:id="8"/>
      <w:r w:rsidR="002A4D20">
        <w:rPr>
          <w:rStyle w:val="aa"/>
        </w:rPr>
        <w:commentReference w:id="8"/>
      </w:r>
    </w:p>
    <w:p w:rsidR="008E260B" w:rsidRPr="00360D80" w:rsidRDefault="008E260B" w:rsidP="0087427B">
      <w:pPr>
        <w:spacing w:beforeLines="50" w:before="156" w:afterLines="50" w:after="156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commentRangeStart w:id="9"/>
      <w:r w:rsidRPr="00360D80">
        <w:rPr>
          <w:rFonts w:asciiTheme="minorEastAsia" w:eastAsiaTheme="minorEastAsia" w:hAnsiTheme="minorEastAsia" w:hint="eastAsia"/>
          <w:b/>
          <w:sz w:val="30"/>
          <w:szCs w:val="30"/>
        </w:rPr>
        <w:t>（一）专业</w:t>
      </w:r>
      <w:r w:rsidR="0054582E">
        <w:rPr>
          <w:rFonts w:asciiTheme="minorEastAsia" w:eastAsiaTheme="minorEastAsia" w:hAnsiTheme="minorEastAsia" w:hint="eastAsia"/>
          <w:b/>
          <w:sz w:val="30"/>
          <w:szCs w:val="30"/>
        </w:rPr>
        <w:t>建设</w:t>
      </w:r>
      <w:commentRangeEnd w:id="9"/>
      <w:r w:rsidR="0054582E">
        <w:rPr>
          <w:rStyle w:val="aa"/>
        </w:rPr>
        <w:commentReference w:id="9"/>
      </w:r>
    </w:p>
    <w:p w:rsidR="009C338D" w:rsidRDefault="009C338D" w:rsidP="009C33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学校的办学思想决定了其办学的方向，直接关系到办学的效果。而正确的办学思想，则是推动学校（包括专业）健康发展的根本。</w:t>
      </w:r>
    </w:p>
    <w:p w:rsidR="009C338D" w:rsidRDefault="009C338D" w:rsidP="009C338D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commentRangeStart w:id="10"/>
      <w:r>
        <w:rPr>
          <w:rFonts w:asciiTheme="minorEastAsia" w:eastAsiaTheme="minorEastAsia" w:hAnsiTheme="minorEastAsia" w:hint="eastAsia"/>
          <w:b/>
          <w:sz w:val="24"/>
        </w:rPr>
        <w:t>1.</w:t>
      </w:r>
      <w:r w:rsidRPr="00781867">
        <w:rPr>
          <w:rFonts w:asciiTheme="minorEastAsia" w:eastAsiaTheme="minorEastAsia" w:hAnsiTheme="minorEastAsia" w:hint="eastAsia"/>
          <w:b/>
          <w:sz w:val="24"/>
        </w:rPr>
        <w:t>坚持以人才培养为根本任务，不断强化教学工作中心地位</w:t>
      </w:r>
      <w:r>
        <w:rPr>
          <w:rFonts w:asciiTheme="minorEastAsia" w:eastAsiaTheme="minorEastAsia" w:hAnsiTheme="minorEastAsia" w:hint="eastAsia"/>
          <w:b/>
          <w:sz w:val="24"/>
        </w:rPr>
        <w:t>。</w:t>
      </w:r>
      <w:commentRangeEnd w:id="10"/>
      <w:r>
        <w:rPr>
          <w:rStyle w:val="aa"/>
        </w:rPr>
        <w:commentReference w:id="10"/>
      </w:r>
    </w:p>
    <w:p w:rsidR="009C338D" w:rsidRDefault="009C338D" w:rsidP="009C338D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F06D3B">
        <w:rPr>
          <w:rFonts w:asciiTheme="minorEastAsia" w:eastAsiaTheme="minorEastAsia" w:hAnsiTheme="minorEastAsia" w:hint="eastAsia"/>
          <w:sz w:val="24"/>
        </w:rPr>
        <w:t>具体</w:t>
      </w:r>
      <w:r w:rsidRPr="00B1453B">
        <w:rPr>
          <w:rFonts w:ascii="宋体" w:hAnsi="宋体" w:hint="eastAsia"/>
          <w:sz w:val="24"/>
        </w:rPr>
        <w:t>实施有利于教学工作和人才培养的政策措施，切实加大对教学工作的投入，不断改善教学条件，完善教学质量监控体系，为教学和人才培养工作提供思想、组织、服务等</w:t>
      </w:r>
      <w:r>
        <w:rPr>
          <w:rFonts w:ascii="宋体" w:hAnsi="宋体" w:hint="eastAsia"/>
          <w:sz w:val="24"/>
        </w:rPr>
        <w:t>提供强有力</w:t>
      </w:r>
      <w:r w:rsidRPr="00B1453B">
        <w:rPr>
          <w:rFonts w:ascii="宋体" w:hAnsi="宋体" w:hint="eastAsia"/>
          <w:sz w:val="24"/>
        </w:rPr>
        <w:t>的保障。</w:t>
      </w:r>
    </w:p>
    <w:p w:rsidR="009C338D" w:rsidRPr="00D9129C" w:rsidRDefault="009C338D" w:rsidP="009C338D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sz w:val="24"/>
        </w:rPr>
      </w:pPr>
      <w:commentRangeStart w:id="11"/>
      <w:r w:rsidRPr="00D9129C">
        <w:rPr>
          <w:rFonts w:ascii="宋体" w:hAnsi="宋体" w:hint="eastAsia"/>
          <w:b/>
          <w:sz w:val="24"/>
        </w:rPr>
        <w:t>人才培养的政策</w:t>
      </w:r>
      <w:commentRangeEnd w:id="11"/>
      <w:r>
        <w:rPr>
          <w:rStyle w:val="aa"/>
        </w:rPr>
        <w:commentReference w:id="11"/>
      </w:r>
    </w:p>
    <w:p w:rsidR="009C338D" w:rsidRPr="00D9129C" w:rsidRDefault="009C338D" w:rsidP="009C338D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Pr="00D9129C">
        <w:rPr>
          <w:rFonts w:asciiTheme="minorEastAsia" w:eastAsiaTheme="minorEastAsia" w:hAnsiTheme="minorEastAsia" w:hint="eastAsia"/>
          <w:sz w:val="24"/>
        </w:rPr>
        <w:t xml:space="preserve"> 人才培养的重点是</w:t>
      </w:r>
      <w:r w:rsidRPr="00D9129C">
        <w:rPr>
          <w:rFonts w:asciiTheme="minorEastAsia" w:eastAsiaTheme="minorEastAsia" w:hAnsiTheme="minorEastAsia"/>
          <w:sz w:val="24"/>
        </w:rPr>
        <w:t>…</w:t>
      </w:r>
    </w:p>
    <w:p w:rsidR="008E260B" w:rsidRDefault="008E260B" w:rsidP="009C338D">
      <w:pPr>
        <w:spacing w:beforeLines="50" w:before="156" w:afterLines="50" w:after="156" w:line="360" w:lineRule="auto"/>
        <w:ind w:firstLineChars="150" w:firstLine="452"/>
        <w:rPr>
          <w:rFonts w:asciiTheme="minorEastAsia" w:eastAsiaTheme="minorEastAsia" w:hAnsiTheme="minorEastAsia" w:hint="eastAsia"/>
          <w:b/>
          <w:sz w:val="30"/>
          <w:szCs w:val="30"/>
        </w:rPr>
      </w:pPr>
      <w:bookmarkStart w:id="12" w:name="_GoBack"/>
      <w:bookmarkEnd w:id="12"/>
      <w:r w:rsidRPr="009B30CE">
        <w:rPr>
          <w:rFonts w:asciiTheme="minorEastAsia" w:eastAsiaTheme="minorEastAsia" w:hAnsiTheme="minorEastAsia" w:hint="eastAsia"/>
          <w:b/>
          <w:sz w:val="30"/>
          <w:szCs w:val="30"/>
        </w:rPr>
        <w:t>（二）</w:t>
      </w:r>
      <w:r w:rsidR="0054582E" w:rsidRPr="0054582E">
        <w:rPr>
          <w:rFonts w:asciiTheme="minorEastAsia" w:eastAsiaTheme="minorEastAsia" w:hAnsiTheme="minorEastAsia" w:hint="eastAsia"/>
          <w:b/>
          <w:sz w:val="30"/>
          <w:szCs w:val="30"/>
        </w:rPr>
        <w:t>人才培养方案</w:t>
      </w:r>
    </w:p>
    <w:p w:rsidR="009C338D" w:rsidRDefault="009C338D" w:rsidP="009C338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作为有着“基础教育语文特级教师的摇篮”美誉的江苏第二师范学院汉语言文学专业，为江苏教育服务，培养高品质的中小学语文师资，是专业办学定位的出发点和根本依据。</w:t>
      </w:r>
    </w:p>
    <w:p w:rsidR="009C338D" w:rsidRPr="00FB6416" w:rsidRDefault="009C338D" w:rsidP="009C338D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commentRangeStart w:id="13"/>
      <w:r w:rsidRPr="00FB6416">
        <w:rPr>
          <w:rFonts w:asciiTheme="minorEastAsia" w:eastAsiaTheme="minorEastAsia" w:hAnsiTheme="minorEastAsia" w:hint="eastAsia"/>
          <w:b/>
          <w:sz w:val="24"/>
        </w:rPr>
        <w:t>发展目标定位</w:t>
      </w:r>
      <w:commentRangeEnd w:id="13"/>
      <w:r>
        <w:rPr>
          <w:rStyle w:val="aa"/>
        </w:rPr>
        <w:commentReference w:id="13"/>
      </w:r>
      <w:r>
        <w:rPr>
          <w:rFonts w:asciiTheme="minorEastAsia" w:eastAsiaTheme="minorEastAsia" w:hAnsiTheme="minorEastAsia" w:hint="eastAsia"/>
          <w:b/>
          <w:sz w:val="24"/>
        </w:rPr>
        <w:t>：</w:t>
      </w:r>
      <w:r>
        <w:rPr>
          <w:rFonts w:asciiTheme="minorEastAsia" w:eastAsiaTheme="minorEastAsia" w:hAnsiTheme="minorEastAsia"/>
          <w:bCs/>
          <w:sz w:val="24"/>
        </w:rPr>
        <w:t>建设适应教学需要，具备</w:t>
      </w:r>
      <w:proofErr w:type="gramStart"/>
      <w:r>
        <w:rPr>
          <w:rFonts w:asciiTheme="minorEastAsia" w:eastAsiaTheme="minorEastAsia" w:hAnsiTheme="minorEastAsia"/>
          <w:bCs/>
          <w:sz w:val="24"/>
        </w:rPr>
        <w:t>高科研</w:t>
      </w:r>
      <w:proofErr w:type="gramEnd"/>
      <w:r>
        <w:rPr>
          <w:rFonts w:asciiTheme="minorEastAsia" w:eastAsiaTheme="minorEastAsia" w:hAnsiTheme="minorEastAsia"/>
          <w:bCs/>
          <w:sz w:val="24"/>
        </w:rPr>
        <w:t>水准</w:t>
      </w:r>
      <w:r>
        <w:rPr>
          <w:rFonts w:asciiTheme="minorEastAsia" w:eastAsiaTheme="minorEastAsia" w:hAnsiTheme="minorEastAsia" w:hint="eastAsia"/>
          <w:bCs/>
          <w:sz w:val="24"/>
        </w:rPr>
        <w:t>、</w:t>
      </w:r>
      <w:r w:rsidRPr="000D0420">
        <w:rPr>
          <w:rFonts w:ascii="宋体" w:hAnsi="宋体"/>
          <w:bCs/>
          <w:sz w:val="24"/>
        </w:rPr>
        <w:t>师德高尚的师资队伍</w:t>
      </w:r>
      <w:r>
        <w:rPr>
          <w:rFonts w:asciiTheme="minorEastAsia" w:eastAsiaTheme="minorEastAsia" w:hAnsiTheme="minorEastAsia" w:hint="eastAsia"/>
          <w:bCs/>
          <w:sz w:val="24"/>
        </w:rPr>
        <w:t>和</w:t>
      </w:r>
      <w:r w:rsidRPr="000D0420">
        <w:rPr>
          <w:rFonts w:ascii="宋体" w:hAnsi="宋体"/>
          <w:bCs/>
          <w:sz w:val="24"/>
        </w:rPr>
        <w:t>优秀教学团队</w:t>
      </w:r>
    </w:p>
    <w:p w:rsidR="009C338D" w:rsidRPr="000D0420" w:rsidRDefault="009C338D" w:rsidP="009C338D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0D0420">
        <w:rPr>
          <w:rFonts w:asciiTheme="minorEastAsia" w:eastAsiaTheme="minorEastAsia" w:hAnsiTheme="minorEastAsia" w:hint="eastAsia"/>
          <w:b/>
          <w:sz w:val="24"/>
        </w:rPr>
        <w:t>办学类型定位：</w:t>
      </w:r>
      <w:r>
        <w:rPr>
          <w:rFonts w:ascii="宋体" w:hAnsi="宋体" w:hint="eastAsia"/>
          <w:sz w:val="24"/>
        </w:rPr>
        <w:t>将本专业办成集科学研究、文化传承、学历教育、职后培训相结合，协同发展、互相促进</w:t>
      </w:r>
      <w:r w:rsidRPr="00B1453B">
        <w:rPr>
          <w:rFonts w:ascii="宋体" w:hAnsi="宋体" w:hint="eastAsia"/>
          <w:sz w:val="24"/>
        </w:rPr>
        <w:t>的教学型师范院校汉语言文学专业。</w:t>
      </w:r>
    </w:p>
    <w:p w:rsidR="009C338D" w:rsidRPr="000D0420" w:rsidRDefault="009C338D" w:rsidP="009C338D">
      <w:pPr>
        <w:spacing w:line="360" w:lineRule="auto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0D0420">
        <w:rPr>
          <w:rFonts w:asciiTheme="minorEastAsia" w:eastAsiaTheme="minorEastAsia" w:hAnsiTheme="minorEastAsia" w:hint="eastAsia"/>
          <w:b/>
          <w:sz w:val="24"/>
        </w:rPr>
        <w:t>办学层次定位：</w:t>
      </w:r>
      <w:r w:rsidRPr="00B1453B">
        <w:rPr>
          <w:rFonts w:ascii="宋体" w:hAnsi="宋体" w:hint="eastAsia"/>
          <w:sz w:val="24"/>
        </w:rPr>
        <w:t>以本科教育作为</w:t>
      </w:r>
      <w:r>
        <w:rPr>
          <w:rFonts w:ascii="宋体" w:hAnsi="宋体" w:hint="eastAsia"/>
          <w:sz w:val="24"/>
        </w:rPr>
        <w:t>专业</w:t>
      </w:r>
      <w:r w:rsidRPr="00B1453B">
        <w:rPr>
          <w:rFonts w:ascii="宋体" w:hAnsi="宋体" w:hint="eastAsia"/>
          <w:sz w:val="24"/>
        </w:rPr>
        <w:t>办学的主体和基础，积极发展研究生教育。目前本专业在发展本科教育的同时，与南京师范大学联合培养学科教学（语文</w:t>
      </w:r>
      <w:r>
        <w:rPr>
          <w:rFonts w:ascii="宋体" w:hAnsi="宋体" w:hint="eastAsia"/>
          <w:sz w:val="24"/>
        </w:rPr>
        <w:t>方向</w:t>
      </w:r>
      <w:r w:rsidRPr="00B1453B">
        <w:rPr>
          <w:rFonts w:ascii="宋体" w:hAnsi="宋体" w:hint="eastAsia"/>
          <w:sz w:val="24"/>
        </w:rPr>
        <w:t>）专业的硕士研究生。</w:t>
      </w:r>
    </w:p>
    <w:p w:rsidR="009C338D" w:rsidRPr="009C338D" w:rsidRDefault="009C338D" w:rsidP="0087427B">
      <w:pPr>
        <w:spacing w:beforeLines="50" w:before="156" w:afterLines="50" w:after="156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CB0228" w:rsidRDefault="00CB0228" w:rsidP="00CB0228">
      <w:pPr>
        <w:spacing w:line="400" w:lineRule="exact"/>
        <w:ind w:firstLineChars="200" w:firstLine="480"/>
        <w:rPr>
          <w:rFonts w:ascii="宋体"/>
          <w:sz w:val="24"/>
        </w:rPr>
      </w:pPr>
    </w:p>
    <w:p w:rsidR="00CB0228" w:rsidRDefault="00CB0228" w:rsidP="00CB0228">
      <w:pPr>
        <w:spacing w:line="400" w:lineRule="exact"/>
        <w:jc w:val="center"/>
        <w:rPr>
          <w:rFonts w:ascii="宋体" w:hAnsi="宋体" w:cs="宋体"/>
          <w:b/>
          <w:szCs w:val="21"/>
        </w:rPr>
      </w:pPr>
      <w:commentRangeStart w:id="14"/>
      <w:r>
        <w:rPr>
          <w:rFonts w:ascii="宋体" w:hAnsi="宋体" w:cs="宋体" w:hint="eastAsia"/>
          <w:b/>
          <w:szCs w:val="21"/>
        </w:rPr>
        <w:t xml:space="preserve">表1 </w:t>
      </w:r>
      <w:r w:rsidR="00E67E45">
        <w:rPr>
          <w:rFonts w:ascii="宋体" w:hAnsi="宋体" w:cs="宋体" w:hint="eastAsia"/>
          <w:b/>
          <w:szCs w:val="21"/>
        </w:rPr>
        <w:t xml:space="preserve"> 江苏第二师范学院省级重点专业建设点一览表</w:t>
      </w:r>
      <w:commentRangeEnd w:id="14"/>
      <w:r w:rsidR="00E67E45">
        <w:rPr>
          <w:rStyle w:val="aa"/>
        </w:rPr>
        <w:commentReference w:id="1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3"/>
        <w:gridCol w:w="2987"/>
        <w:gridCol w:w="1696"/>
        <w:gridCol w:w="1162"/>
      </w:tblGrid>
      <w:tr w:rsidR="00CB0228" w:rsidTr="00E104E6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所属二级学院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立项单位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立项年份</w:t>
            </w:r>
          </w:p>
        </w:tc>
      </w:tr>
      <w:tr w:rsidR="00CB0228" w:rsidTr="00E104E6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小学教育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江苏省教育厅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2012</w:t>
            </w:r>
          </w:p>
        </w:tc>
      </w:tr>
      <w:tr w:rsidR="00CB0228" w:rsidTr="00E104E6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汉语言文学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江苏省教育厅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2012</w:t>
            </w:r>
          </w:p>
        </w:tc>
      </w:tr>
      <w:tr w:rsidR="00CB0228" w:rsidTr="00E104E6">
        <w:trPr>
          <w:trHeight w:val="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生物科学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生命科学与化学化工学院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江苏省教育厅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28" w:rsidRDefault="00CB0228" w:rsidP="00E104E6">
            <w:pPr>
              <w:widowControl/>
              <w:spacing w:line="40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2012</w:t>
            </w:r>
          </w:p>
        </w:tc>
      </w:tr>
    </w:tbl>
    <w:p w:rsidR="00CB0228" w:rsidRDefault="00CB0228" w:rsidP="00CB0228">
      <w:pPr>
        <w:spacing w:line="400" w:lineRule="exact"/>
        <w:rPr>
          <w:rFonts w:ascii="宋体" w:cs="宋体"/>
          <w:szCs w:val="21"/>
        </w:rPr>
      </w:pPr>
    </w:p>
    <w:p w:rsidR="00EA7E65" w:rsidRDefault="00EA7E65" w:rsidP="00EA7E65">
      <w:pPr>
        <w:rPr>
          <w:rFonts w:ascii="宋体" w:hAnsi="宋体" w:cs="宋体"/>
          <w:b/>
          <w:szCs w:val="21"/>
        </w:rPr>
      </w:pPr>
    </w:p>
    <w:p w:rsidR="00EA7E65" w:rsidRDefault="00EA7E65" w:rsidP="00EA7E65">
      <w:pPr>
        <w:jc w:val="center"/>
        <w:rPr>
          <w:rFonts w:ascii="宋体" w:hAnsi="宋体" w:cs="宋体"/>
          <w:b/>
          <w:szCs w:val="21"/>
        </w:rPr>
      </w:pPr>
    </w:p>
    <w:p w:rsidR="00EA7E65" w:rsidRDefault="00EA7E65" w:rsidP="00EA7E6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41620" cy="3444240"/>
            <wp:effectExtent l="0" t="0" r="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5" w:rsidRDefault="00EA7E65" w:rsidP="00EA7E65">
      <w:pPr>
        <w:jc w:val="center"/>
        <w:rPr>
          <w:rFonts w:ascii="宋体" w:hAnsi="宋体" w:cs="宋体"/>
          <w:b/>
          <w:szCs w:val="21"/>
        </w:rPr>
      </w:pPr>
      <w:commentRangeStart w:id="15"/>
      <w:r>
        <w:rPr>
          <w:rFonts w:ascii="宋体" w:hAnsi="宋体" w:cs="宋体" w:hint="eastAsia"/>
          <w:b/>
          <w:szCs w:val="21"/>
        </w:rPr>
        <w:t>图1</w:t>
      </w:r>
      <w:r>
        <w:rPr>
          <w:rFonts w:ascii="宋体" w:hAnsi="宋体" w:cs="宋体"/>
          <w:b/>
          <w:szCs w:val="21"/>
        </w:rPr>
        <w:t xml:space="preserve"> 20</w:t>
      </w:r>
      <w:r w:rsidR="006715E5">
        <w:rPr>
          <w:rFonts w:ascii="宋体" w:hAnsi="宋体" w:cs="宋体" w:hint="eastAsia"/>
          <w:b/>
          <w:szCs w:val="21"/>
        </w:rPr>
        <w:t>XX</w:t>
      </w:r>
      <w:r>
        <w:rPr>
          <w:rFonts w:ascii="宋体" w:hAnsi="宋体" w:cs="宋体"/>
          <w:b/>
          <w:szCs w:val="21"/>
        </w:rPr>
        <w:t>-20</w:t>
      </w:r>
      <w:r w:rsidR="006715E5">
        <w:rPr>
          <w:rFonts w:ascii="宋体" w:hAnsi="宋体" w:cs="宋体" w:hint="eastAsia"/>
          <w:b/>
          <w:szCs w:val="21"/>
        </w:rPr>
        <w:t>XX</w:t>
      </w:r>
      <w:r>
        <w:rPr>
          <w:rFonts w:ascii="宋体" w:hAnsi="宋体" w:cs="宋体" w:hint="eastAsia"/>
          <w:b/>
          <w:szCs w:val="21"/>
        </w:rPr>
        <w:t>各年度生</w:t>
      </w:r>
      <w:proofErr w:type="gramStart"/>
      <w:r>
        <w:rPr>
          <w:rFonts w:ascii="宋体" w:hAnsi="宋体" w:cs="宋体" w:hint="eastAsia"/>
          <w:b/>
          <w:szCs w:val="21"/>
        </w:rPr>
        <w:t>均教学</w:t>
      </w:r>
      <w:proofErr w:type="gramEnd"/>
      <w:r>
        <w:rPr>
          <w:rFonts w:ascii="宋体" w:hAnsi="宋体" w:cs="宋体" w:hint="eastAsia"/>
          <w:b/>
          <w:szCs w:val="21"/>
        </w:rPr>
        <w:t>科研仪器设备值情况图</w:t>
      </w:r>
      <w:commentRangeEnd w:id="15"/>
      <w:r>
        <w:rPr>
          <w:rStyle w:val="aa"/>
        </w:rPr>
        <w:commentReference w:id="15"/>
      </w:r>
    </w:p>
    <w:p w:rsidR="00EA7E65" w:rsidRDefault="00EA7E65" w:rsidP="00EA7E65">
      <w:pPr>
        <w:spacing w:line="400" w:lineRule="exact"/>
        <w:ind w:firstLineChars="200" w:firstLine="562"/>
        <w:rPr>
          <w:rFonts w:ascii="楷体_GB2312" w:eastAsia="楷体_GB2312" w:hAnsi="宋体" w:cs="楷体_GB2312"/>
          <w:b/>
          <w:bCs/>
          <w:sz w:val="28"/>
          <w:szCs w:val="28"/>
        </w:rPr>
      </w:pPr>
    </w:p>
    <w:p w:rsidR="00A3617C" w:rsidRPr="00EA7E65" w:rsidRDefault="00A3617C" w:rsidP="00681F9E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</w:p>
    <w:p w:rsidR="00EA7E65" w:rsidRDefault="00EA7E65" w:rsidP="00EA7E65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EA7E65" w:rsidRDefault="00EA7E65" w:rsidP="00EA7E65">
      <w:pPr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5196840" cy="3352800"/>
            <wp:effectExtent l="0" t="0" r="3810" b="0"/>
            <wp:docPr id="2" name="图片 2" descr="QQ截图2016123016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QQ截图201612301615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65" w:rsidRDefault="00EA7E65" w:rsidP="00EA7E65">
      <w:pPr>
        <w:jc w:val="center"/>
        <w:rPr>
          <w:b/>
        </w:rPr>
      </w:pPr>
      <w:commentRangeStart w:id="16"/>
      <w:r>
        <w:rPr>
          <w:rFonts w:ascii="宋体" w:hAnsi="宋体" w:cs="宋体" w:hint="eastAsia"/>
          <w:b/>
          <w:szCs w:val="21"/>
        </w:rPr>
        <w:t>图2</w:t>
      </w:r>
      <w:r>
        <w:rPr>
          <w:rFonts w:ascii="宋体" w:hAnsi="宋体" w:cs="宋体"/>
          <w:b/>
          <w:szCs w:val="21"/>
        </w:rPr>
        <w:t xml:space="preserve"> 20</w:t>
      </w:r>
      <w:r w:rsidR="006715E5">
        <w:rPr>
          <w:rFonts w:ascii="宋体" w:hAnsi="宋体" w:cs="宋体" w:hint="eastAsia"/>
          <w:b/>
          <w:szCs w:val="21"/>
        </w:rPr>
        <w:t>XX</w:t>
      </w:r>
      <w:r>
        <w:rPr>
          <w:rFonts w:ascii="宋体" w:hAnsi="宋体" w:cs="宋体"/>
          <w:b/>
          <w:szCs w:val="21"/>
        </w:rPr>
        <w:t>-20</w:t>
      </w:r>
      <w:r w:rsidR="006715E5">
        <w:rPr>
          <w:rFonts w:ascii="宋体" w:hAnsi="宋体" w:cs="宋体" w:hint="eastAsia"/>
          <w:b/>
          <w:szCs w:val="21"/>
        </w:rPr>
        <w:t>XX</w:t>
      </w:r>
      <w:r>
        <w:rPr>
          <w:rFonts w:ascii="宋体" w:hAnsi="宋体" w:cs="宋体" w:hint="eastAsia"/>
          <w:b/>
          <w:szCs w:val="21"/>
        </w:rPr>
        <w:t>各年度四项经费支出情况图</w:t>
      </w:r>
      <w:commentRangeEnd w:id="16"/>
      <w:r>
        <w:rPr>
          <w:rStyle w:val="aa"/>
        </w:rPr>
        <w:commentReference w:id="16"/>
      </w:r>
    </w:p>
    <w:p w:rsidR="00A77EC9" w:rsidRDefault="00A77EC9" w:rsidP="00624DA4">
      <w:pPr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</w:p>
    <w:p w:rsidR="00624DA4" w:rsidRDefault="00624DA4" w:rsidP="00624DA4">
      <w:pPr>
        <w:jc w:val="center"/>
        <w:rPr>
          <w:rFonts w:ascii="宋体"/>
          <w:sz w:val="24"/>
        </w:rPr>
      </w:pPr>
      <w:r>
        <w:rPr>
          <w:rFonts w:ascii="宋体"/>
          <w:noProof/>
          <w:sz w:val="24"/>
        </w:rPr>
        <w:drawing>
          <wp:inline distT="0" distB="0" distL="0" distR="0">
            <wp:extent cx="4564380" cy="3314700"/>
            <wp:effectExtent l="0" t="0" r="7620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A4" w:rsidRDefault="00624DA4" w:rsidP="00624DA4">
      <w:pPr>
        <w:jc w:val="center"/>
        <w:rPr>
          <w:rFonts w:ascii="宋体" w:hAnsi="宋体" w:cs="宋体"/>
          <w:b/>
          <w:szCs w:val="21"/>
        </w:rPr>
      </w:pPr>
      <w:commentRangeStart w:id="17"/>
      <w:r>
        <w:rPr>
          <w:rFonts w:ascii="宋体" w:hAnsi="宋体" w:cs="宋体" w:hint="eastAsia"/>
          <w:b/>
          <w:szCs w:val="21"/>
        </w:rPr>
        <w:t>图3</w:t>
      </w:r>
      <w:r>
        <w:rPr>
          <w:rFonts w:ascii="宋体" w:hAnsi="宋体" w:cs="宋体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教师队伍年龄分布图</w:t>
      </w:r>
      <w:commentRangeEnd w:id="17"/>
      <w:r w:rsidR="00A77EC9">
        <w:rPr>
          <w:rStyle w:val="aa"/>
        </w:rPr>
        <w:commentReference w:id="17"/>
      </w:r>
    </w:p>
    <w:p w:rsidR="00BF0298" w:rsidRDefault="00BF0298" w:rsidP="004110DF">
      <w:pPr>
        <w:pStyle w:val="2"/>
        <w:jc w:val="center"/>
        <w:rPr>
          <w:rFonts w:ascii="黑体" w:hAnsi="黑体" w:hint="eastAsia"/>
          <w:b w:val="0"/>
          <w:sz w:val="36"/>
          <w:szCs w:val="36"/>
        </w:rPr>
      </w:pPr>
      <w:r w:rsidRPr="00C33C29">
        <w:rPr>
          <w:rFonts w:ascii="黑体" w:hAnsi="黑体"/>
          <w:b w:val="0"/>
          <w:sz w:val="36"/>
          <w:szCs w:val="36"/>
        </w:rPr>
        <w:t>第</w:t>
      </w:r>
      <w:r w:rsidR="00E20D46">
        <w:rPr>
          <w:rFonts w:ascii="黑体" w:hAnsi="黑体" w:hint="eastAsia"/>
          <w:b w:val="0"/>
          <w:sz w:val="36"/>
          <w:szCs w:val="36"/>
        </w:rPr>
        <w:t>四</w:t>
      </w:r>
      <w:r w:rsidRPr="00C33C29">
        <w:rPr>
          <w:rFonts w:ascii="黑体" w:hAnsi="黑体"/>
          <w:b w:val="0"/>
          <w:sz w:val="36"/>
          <w:szCs w:val="36"/>
        </w:rPr>
        <w:t xml:space="preserve">部分  </w:t>
      </w:r>
      <w:r w:rsidR="004110DF" w:rsidRPr="004110DF">
        <w:rPr>
          <w:rFonts w:ascii="黑体" w:hAnsi="黑体" w:hint="eastAsia"/>
          <w:b w:val="0"/>
          <w:sz w:val="36"/>
          <w:szCs w:val="36"/>
        </w:rPr>
        <w:t>本专业存在问题、原因分析与改进措施</w:t>
      </w:r>
    </w:p>
    <w:p w:rsidR="00FE7563" w:rsidRPr="00FE7563" w:rsidRDefault="00FE7563" w:rsidP="00FE7563"/>
    <w:p w:rsidR="00353B9E" w:rsidRPr="00353B9E" w:rsidRDefault="00353B9E" w:rsidP="00353B9E">
      <w:pPr>
        <w:keepNext/>
        <w:keepLines/>
        <w:spacing w:before="20" w:after="20" w:line="240" w:lineRule="atLeast"/>
        <w:outlineLvl w:val="1"/>
        <w:rPr>
          <w:rFonts w:ascii="Arial" w:eastAsia="黑体" w:hAnsi="Arial"/>
          <w:b/>
          <w:bCs/>
          <w:sz w:val="32"/>
          <w:szCs w:val="32"/>
        </w:rPr>
      </w:pPr>
      <w:bookmarkStart w:id="18" w:name="_Toc388080703"/>
      <w:r w:rsidRPr="00353B9E">
        <w:rPr>
          <w:rFonts w:ascii="Arial" w:eastAsia="黑体" w:hAnsi="Arial" w:hint="eastAsia"/>
          <w:b/>
          <w:bCs/>
          <w:sz w:val="32"/>
          <w:szCs w:val="32"/>
        </w:rPr>
        <w:lastRenderedPageBreak/>
        <w:t>附：</w:t>
      </w:r>
      <w:r w:rsidRPr="00353B9E">
        <w:rPr>
          <w:rFonts w:ascii="Arial" w:eastAsia="黑体" w:hAnsi="Arial" w:hint="eastAsia"/>
          <w:b/>
          <w:bCs/>
          <w:noProof/>
          <w:sz w:val="32"/>
          <w:szCs w:val="32"/>
        </w:rPr>
        <w:t>学士学位</w:t>
      </w:r>
      <w:r w:rsidRPr="00353B9E">
        <w:rPr>
          <w:rFonts w:ascii="Arial" w:eastAsia="黑体" w:hAnsi="Arial" w:hint="eastAsia"/>
          <w:b/>
          <w:bCs/>
          <w:sz w:val="32"/>
          <w:szCs w:val="32"/>
        </w:rPr>
        <w:t>授予权专业自评结果表</w:t>
      </w:r>
      <w:bookmarkEnd w:id="18"/>
      <w:r w:rsidRPr="00353B9E">
        <w:rPr>
          <w:rFonts w:ascii="Arial" w:eastAsia="黑体" w:hAnsi="Arial" w:hint="eastAsia"/>
          <w:b/>
          <w:bCs/>
          <w:sz w:val="32"/>
          <w:szCs w:val="32"/>
        </w:rPr>
        <w:t>（</w:t>
      </w:r>
      <w:commentRangeStart w:id="19"/>
      <w:r w:rsidR="004B0BDA">
        <w:rPr>
          <w:rFonts w:hAnsi="宋体" w:hint="eastAsia"/>
          <w:b/>
          <w:noProof/>
          <w:sz w:val="28"/>
          <w:szCs w:val="28"/>
        </w:rPr>
        <w:t>XXX</w:t>
      </w:r>
      <w:commentRangeEnd w:id="19"/>
      <w:r w:rsidR="0090286A">
        <w:rPr>
          <w:rStyle w:val="aa"/>
        </w:rPr>
        <w:commentReference w:id="19"/>
      </w:r>
      <w:r w:rsidRPr="00353B9E">
        <w:rPr>
          <w:rFonts w:ascii="Arial" w:eastAsia="黑体" w:hAnsi="Arial" w:hint="eastAsia"/>
          <w:b/>
          <w:bCs/>
          <w:sz w:val="32"/>
          <w:szCs w:val="32"/>
        </w:rPr>
        <w:t>）</w:t>
      </w:r>
    </w:p>
    <w:p w:rsidR="00353B9E" w:rsidRPr="00353B9E" w:rsidRDefault="00353B9E" w:rsidP="00353B9E">
      <w:pPr>
        <w:jc w:val="center"/>
        <w:rPr>
          <w:rFonts w:eastAsia="方正魏碑简体"/>
          <w:color w:val="000000"/>
          <w:szCs w:val="21"/>
        </w:rPr>
      </w:pPr>
    </w:p>
    <w:tbl>
      <w:tblPr>
        <w:tblW w:w="9186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109"/>
        <w:gridCol w:w="3647"/>
        <w:gridCol w:w="1276"/>
        <w:gridCol w:w="766"/>
        <w:gridCol w:w="716"/>
        <w:gridCol w:w="668"/>
      </w:tblGrid>
      <w:tr w:rsidR="00353B9E" w:rsidRPr="00353B9E" w:rsidTr="001B1CC4">
        <w:trPr>
          <w:trHeight w:val="184"/>
          <w:tblHeader/>
          <w:jc w:val="center"/>
        </w:trPr>
        <w:tc>
          <w:tcPr>
            <w:tcW w:w="10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53B9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一级指标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53B9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二级指标</w:t>
            </w:r>
          </w:p>
        </w:tc>
        <w:tc>
          <w:tcPr>
            <w:tcW w:w="4923" w:type="dxa"/>
            <w:gridSpan w:val="2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353B9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评   审   内   容   与   标   准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二级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指标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满分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二级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指标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得分</w:t>
            </w:r>
          </w:p>
        </w:tc>
        <w:tc>
          <w:tcPr>
            <w:tcW w:w="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一级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指标</w:t>
            </w:r>
          </w:p>
          <w:p w:rsidR="00353B9E" w:rsidRPr="00353B9E" w:rsidRDefault="00353B9E" w:rsidP="00353B9E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3B9E">
              <w:rPr>
                <w:rFonts w:ascii="宋体" w:hAnsi="宋体" w:hint="eastAsia"/>
                <w:b/>
                <w:bCs/>
                <w:sz w:val="24"/>
              </w:rPr>
              <w:t>得分</w:t>
            </w:r>
          </w:p>
        </w:tc>
      </w:tr>
      <w:tr w:rsidR="00353B9E" w:rsidRPr="00353B9E" w:rsidTr="001B1CC4">
        <w:trPr>
          <w:cantSplit/>
          <w:trHeight w:val="1100"/>
          <w:jc w:val="center"/>
        </w:trPr>
        <w:tc>
          <w:tcPr>
            <w:tcW w:w="1004" w:type="dxa"/>
            <w:vMerge w:val="restart"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ind w:rightChars="-30" w:right="-63"/>
              <w:jc w:val="center"/>
              <w:rPr>
                <w:rFonts w:asciiTheme="majorEastAsia" w:eastAsiaTheme="majorEastAsia" w:hAnsiTheme="majorEastAsia"/>
                <w:b/>
                <w:bCs/>
                <w:spacing w:val="-4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pacing w:val="-4"/>
                <w:sz w:val="18"/>
                <w:szCs w:val="18"/>
              </w:rPr>
              <w:t>（一）</w:t>
            </w:r>
          </w:p>
          <w:p w:rsidR="00353B9E" w:rsidRPr="00353B9E" w:rsidRDefault="00353B9E" w:rsidP="00353B9E">
            <w:pPr>
              <w:spacing w:line="360" w:lineRule="exact"/>
              <w:ind w:rightChars="-30" w:right="-63"/>
              <w:jc w:val="center"/>
              <w:rPr>
                <w:rFonts w:asciiTheme="majorEastAsia" w:eastAsiaTheme="majorEastAsia" w:hAnsiTheme="majorEastAsia"/>
                <w:b/>
                <w:bCs/>
                <w:spacing w:val="-4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pacing w:val="-4"/>
                <w:sz w:val="18"/>
                <w:szCs w:val="18"/>
              </w:rPr>
              <w:t>专业建设及人才培养方案</w:t>
            </w:r>
          </w:p>
          <w:p w:rsidR="00353B9E" w:rsidRPr="00353B9E" w:rsidRDefault="00353B9E" w:rsidP="00353B9E">
            <w:pPr>
              <w:spacing w:line="360" w:lineRule="exact"/>
              <w:ind w:rightChars="-30" w:right="-63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pacing w:val="-4"/>
                <w:sz w:val="18"/>
                <w:szCs w:val="18"/>
              </w:rPr>
              <w:t>（10分）</w:t>
            </w: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1.1专业建设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专业设置满足社会需要，专业建设规划科学、合理，能有效指导专业建设；专业建设措施得力，成效显著。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668" w:type="dxa"/>
            <w:vMerge w:val="restart"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9.5</w:t>
            </w:r>
          </w:p>
        </w:tc>
      </w:tr>
      <w:tr w:rsidR="00353B9E" w:rsidRPr="00353B9E" w:rsidTr="001B1CC4">
        <w:trPr>
          <w:cantSplit/>
          <w:trHeight w:val="1116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1.2人才培养方案 </w:t>
            </w:r>
          </w:p>
        </w:tc>
        <w:tc>
          <w:tcPr>
            <w:tcW w:w="4923" w:type="dxa"/>
            <w:gridSpan w:val="2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培养方案符合培养目标的要求，体现德、智、体、美等全面发展，有利于人文素质和科学素质提高，有利于创新精神和实践能力的培养；执行情况好。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92"/>
          <w:jc w:val="center"/>
        </w:trPr>
        <w:tc>
          <w:tcPr>
            <w:tcW w:w="10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（二）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教师队伍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（20分）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2.1专业负责人  </w:t>
            </w:r>
          </w:p>
        </w:tc>
        <w:tc>
          <w:tcPr>
            <w:tcW w:w="4923" w:type="dxa"/>
            <w:gridSpan w:val="2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具有正高职称，学术水平较高。专业负责人无副高或以上职称，评为0分。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19.1</w:t>
            </w:r>
          </w:p>
        </w:tc>
      </w:tr>
      <w:tr w:rsidR="00353B9E" w:rsidRPr="00353B9E" w:rsidTr="001B1CC4">
        <w:trPr>
          <w:cantSplit/>
          <w:trHeight w:val="989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2.2专业教师配置 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专任教师总数满足教学要求，专业核心课程教师≥5人，并具备良好的专业知识。专业核心课程教师﹤4人，评为0分。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1125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2.3专业教师结构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专业师资队伍的专业背景、学历、学缘、年龄、职称等结构合理，发展趋势良好。具有研究生或相当学历者的比例≥50％为良好及以上，比例﹤30％为不合格，评为0分。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1411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 xml:space="preserve">2.4教师教学与科研能力（含教学研究）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教师具有较高的教学水平和较强的科研能力，承担一定数量的科研任务，对教学形成良好支撑。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08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2.5实验教师队伍  </w:t>
            </w:r>
          </w:p>
        </w:tc>
        <w:tc>
          <w:tcPr>
            <w:tcW w:w="4923" w:type="dxa"/>
            <w:gridSpan w:val="2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实验教师队伍结构合理，满足实验实践教学要求。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444151">
        <w:trPr>
          <w:cantSplit/>
          <w:trHeight w:val="1268"/>
          <w:jc w:val="center"/>
        </w:trPr>
        <w:tc>
          <w:tcPr>
            <w:tcW w:w="10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（三）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教学条件及利用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（20分）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3.1专业实验室</w:t>
            </w:r>
          </w:p>
        </w:tc>
        <w:tc>
          <w:tcPr>
            <w:tcW w:w="4923" w:type="dxa"/>
            <w:gridSpan w:val="2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专业教学实验室配备完善，设备先进，利用率高，在专业人才培养中能发挥较好作用。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18.7</w:t>
            </w:r>
          </w:p>
        </w:tc>
      </w:tr>
      <w:tr w:rsidR="00353B9E" w:rsidRPr="00353B9E" w:rsidTr="00444151">
        <w:trPr>
          <w:cantSplit/>
          <w:trHeight w:val="1276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3.2 专业图书资料 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专业图书资料数量充足，种类较全，满足专业教学的需要。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444151">
        <w:trPr>
          <w:cantSplit/>
          <w:trHeight w:val="1583"/>
          <w:jc w:val="center"/>
        </w:trPr>
        <w:tc>
          <w:tcPr>
            <w:tcW w:w="1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3.3实习基地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校内外实习基地完善、稳定，设施满足因材施教的实践教学要求。实习基地数≥5个为良好及以上，实习基地数﹤3个为不合格，评为0分。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40"/>
          <w:jc w:val="center"/>
        </w:trPr>
        <w:tc>
          <w:tcPr>
            <w:tcW w:w="1004" w:type="dxa"/>
            <w:vMerge w:val="restart"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lastRenderedPageBreak/>
              <w:t>（四）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教学过程及管理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（20分）</w:t>
            </w: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4.1课程建设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规划科学合理，建设成果显著。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68" w:type="dxa"/>
            <w:vMerge w:val="restart"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4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14.8</w:t>
            </w:r>
          </w:p>
        </w:tc>
      </w:tr>
      <w:tr w:rsidR="00353B9E" w:rsidRPr="00353B9E" w:rsidTr="001B1CC4">
        <w:trPr>
          <w:cantSplit/>
          <w:trHeight w:val="1279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4.2教材建设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color w:val="000000"/>
                <w:spacing w:val="-2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pacing w:val="-2"/>
                <w:sz w:val="18"/>
                <w:szCs w:val="18"/>
              </w:rPr>
              <w:t>规划科学合理、有保障，使用一定数量省、部级及以上获奖教材。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726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4.3教学研究与改革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总体思路清晰、有具体计划、配套措施有力，执行良好，教师教研教改积极性高，改革成效显著。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40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4.4质量监控</w:t>
            </w:r>
          </w:p>
        </w:tc>
        <w:tc>
          <w:tcPr>
            <w:tcW w:w="4923" w:type="dxa"/>
            <w:gridSpan w:val="2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管理制度健全，执行严格，效果显著；质量标准完善、合理，体现学校的水平和地位，执行严格；教学质量监控体系科学、完善，运行有效，成效显著。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80"/>
          <w:jc w:val="center"/>
        </w:trPr>
        <w:tc>
          <w:tcPr>
            <w:tcW w:w="10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（五）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实践教学</w:t>
            </w:r>
            <w:r w:rsidRPr="00353B9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br/>
            </w: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（15分）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="仿宋_GB2312" w:eastAsia="仿宋_GB2312" w:hAnsi="宋体" w:hint="eastAsia"/>
                <w:sz w:val="24"/>
              </w:rPr>
              <w:t>★</w:t>
            </w: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5.1实验开出率  </w:t>
            </w:r>
          </w:p>
        </w:tc>
        <w:tc>
          <w:tcPr>
            <w:tcW w:w="4923" w:type="dxa"/>
            <w:gridSpan w:val="2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实验课程设置科学合理，实验开出率≥95%为良好及以上，实验开出率 &lt;90%为不合格，评为0分。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14.8</w:t>
            </w:r>
          </w:p>
        </w:tc>
      </w:tr>
      <w:tr w:rsidR="00353B9E" w:rsidRPr="00353B9E" w:rsidTr="001B1CC4">
        <w:trPr>
          <w:cantSplit/>
          <w:trHeight w:val="1276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5.2综合性、设计性实验比例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综合性、设计性实验比例&gt;80%为良好及以上，综合性、设计性实验比例 &lt;60%为不合格，评为0分。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40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5.3实习教学</w:t>
            </w:r>
          </w:p>
        </w:tc>
        <w:tc>
          <w:tcPr>
            <w:tcW w:w="4923" w:type="dxa"/>
            <w:gridSpan w:val="2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实习教学环节设置科学合理，计划性强，过程管理严格。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853"/>
          <w:jc w:val="center"/>
        </w:trPr>
        <w:tc>
          <w:tcPr>
            <w:tcW w:w="10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（六）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毕业设计（论文）</w:t>
            </w:r>
          </w:p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（15分）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6.1基本规范要求  </w:t>
            </w:r>
          </w:p>
        </w:tc>
        <w:tc>
          <w:tcPr>
            <w:tcW w:w="4923" w:type="dxa"/>
            <w:gridSpan w:val="2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260" w:lineRule="exact"/>
              <w:ind w:leftChars="50" w:left="10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管理规范,要求严格。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14</w:t>
            </w:r>
          </w:p>
        </w:tc>
      </w:tr>
      <w:tr w:rsidR="00353B9E" w:rsidRPr="00353B9E" w:rsidTr="001B1CC4">
        <w:trPr>
          <w:cantSplit/>
          <w:trHeight w:val="822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6.2 选题 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选题性质、难度、份量结合实际，科学合理，全面反映培养目标要求，达到综合训练之目的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4.5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565"/>
          <w:jc w:val="center"/>
        </w:trPr>
        <w:tc>
          <w:tcPr>
            <w:tcW w:w="1004" w:type="dxa"/>
            <w:vMerge/>
            <w:tcBorders>
              <w:lef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6.3 指导 </w:t>
            </w:r>
          </w:p>
        </w:tc>
        <w:tc>
          <w:tcPr>
            <w:tcW w:w="4923" w:type="dxa"/>
            <w:gridSpan w:val="2"/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主要由讲师及以上职务的教师指导，指导教师数量足，水平较高。</w:t>
            </w:r>
          </w:p>
        </w:tc>
        <w:tc>
          <w:tcPr>
            <w:tcW w:w="76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16" w:type="dxa"/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668" w:type="dxa"/>
            <w:vMerge/>
            <w:tcBorders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605"/>
          <w:jc w:val="center"/>
        </w:trPr>
        <w:tc>
          <w:tcPr>
            <w:tcW w:w="10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z w:val="18"/>
                <w:szCs w:val="18"/>
              </w:rPr>
              <w:t>6.4过程管理</w:t>
            </w:r>
          </w:p>
        </w:tc>
        <w:tc>
          <w:tcPr>
            <w:tcW w:w="4923" w:type="dxa"/>
            <w:gridSpan w:val="2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rPr>
                <w:rFonts w:asciiTheme="majorEastAsia" w:eastAsiaTheme="majorEastAsia" w:hAnsiTheme="majorEastAsia"/>
                <w:spacing w:val="-2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spacing w:val="-2"/>
                <w:sz w:val="18"/>
                <w:szCs w:val="18"/>
              </w:rPr>
              <w:t>过程管理严格、科学；论文或设计质量好。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53B9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353B9E" w:rsidRPr="00353B9E" w:rsidTr="001B1CC4">
        <w:trPr>
          <w:cantSplit/>
          <w:trHeight w:val="650"/>
          <w:jc w:val="center"/>
        </w:trPr>
        <w:tc>
          <w:tcPr>
            <w:tcW w:w="2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30" w:left="-63" w:rightChars="-30" w:right="-63"/>
              <w:jc w:val="center"/>
              <w:rPr>
                <w:b/>
                <w:sz w:val="24"/>
              </w:rPr>
            </w:pPr>
            <w:r w:rsidRPr="00353B9E">
              <w:rPr>
                <w:rFonts w:hint="eastAsia"/>
                <w:b/>
                <w:sz w:val="24"/>
              </w:rPr>
              <w:t>自评总得分</w:t>
            </w:r>
          </w:p>
        </w:tc>
        <w:tc>
          <w:tcPr>
            <w:tcW w:w="3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20" w:left="-42" w:rightChars="-50" w:right="-105"/>
              <w:jc w:val="center"/>
              <w:rPr>
                <w:sz w:val="24"/>
              </w:rPr>
            </w:pPr>
            <w:r w:rsidRPr="00353B9E">
              <w:rPr>
                <w:rFonts w:hint="eastAsia"/>
                <w:sz w:val="24"/>
              </w:rPr>
              <w:t>90.9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20" w:left="-42" w:rightChars="-50" w:right="-105"/>
              <w:jc w:val="center"/>
              <w:rPr>
                <w:b/>
                <w:sz w:val="24"/>
              </w:rPr>
            </w:pPr>
            <w:r w:rsidRPr="00353B9E">
              <w:rPr>
                <w:rFonts w:hint="eastAsia"/>
                <w:b/>
                <w:sz w:val="24"/>
              </w:rPr>
              <w:t>核心指标</w:t>
            </w:r>
          </w:p>
          <w:p w:rsidR="00353B9E" w:rsidRPr="00353B9E" w:rsidRDefault="00353B9E" w:rsidP="00353B9E">
            <w:pPr>
              <w:spacing w:line="0" w:lineRule="atLeast"/>
              <w:ind w:leftChars="-20" w:left="-42" w:rightChars="-50" w:right="-105"/>
              <w:jc w:val="center"/>
              <w:rPr>
                <w:b/>
                <w:sz w:val="24"/>
              </w:rPr>
            </w:pPr>
            <w:r w:rsidRPr="00353B9E">
              <w:rPr>
                <w:rFonts w:hint="eastAsia"/>
                <w:b/>
                <w:sz w:val="24"/>
              </w:rPr>
              <w:t>自评得分</w:t>
            </w:r>
          </w:p>
        </w:tc>
        <w:tc>
          <w:tcPr>
            <w:tcW w:w="21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B9E" w:rsidRPr="00353B9E" w:rsidRDefault="00353B9E" w:rsidP="00353B9E">
            <w:pPr>
              <w:spacing w:line="0" w:lineRule="atLeast"/>
              <w:ind w:leftChars="-20" w:left="-42" w:rightChars="-50" w:right="-105"/>
              <w:jc w:val="center"/>
              <w:rPr>
                <w:sz w:val="18"/>
                <w:szCs w:val="18"/>
              </w:rPr>
            </w:pPr>
            <w:r w:rsidRPr="00530683">
              <w:rPr>
                <w:rFonts w:hint="eastAsia"/>
                <w:sz w:val="24"/>
              </w:rPr>
              <w:t>24.7</w:t>
            </w:r>
          </w:p>
        </w:tc>
      </w:tr>
    </w:tbl>
    <w:p w:rsidR="00353B9E" w:rsidRPr="00353B9E" w:rsidRDefault="00353B9E" w:rsidP="00353B9E">
      <w:pPr>
        <w:spacing w:line="300" w:lineRule="exact"/>
        <w:rPr>
          <w:rFonts w:eastAsia="方正魏碑简体"/>
          <w:color w:val="000000"/>
          <w:szCs w:val="21"/>
        </w:rPr>
      </w:pPr>
    </w:p>
    <w:p w:rsidR="00353B9E" w:rsidRDefault="00353B9E" w:rsidP="00681F9E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</w:p>
    <w:sectPr w:rsidR="00353B9E" w:rsidSect="002C401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未定义" w:date="2017-04-07T14:43:00Z" w:initials="P">
    <w:p w:rsidR="00997032" w:rsidRDefault="00997032">
      <w:pPr>
        <w:pStyle w:val="ab"/>
      </w:pPr>
      <w:r>
        <w:rPr>
          <w:rStyle w:val="aa"/>
        </w:rPr>
        <w:annotationRef/>
      </w:r>
      <w:r w:rsidR="00B42597">
        <w:rPr>
          <w:rFonts w:hint="eastAsia"/>
        </w:rPr>
        <w:t>请按照模板编制目录，调整页码即可，</w:t>
      </w:r>
      <w:proofErr w:type="gramStart"/>
      <w:r w:rsidR="00B42597">
        <w:rPr>
          <w:rFonts w:hint="eastAsia"/>
        </w:rPr>
        <w:t>请严格</w:t>
      </w:r>
      <w:proofErr w:type="gramEnd"/>
      <w:r w:rsidR="00B42597">
        <w:rPr>
          <w:rFonts w:hint="eastAsia"/>
        </w:rPr>
        <w:t>按照评审指标体系编制自评报告。</w:t>
      </w:r>
    </w:p>
  </w:comment>
  <w:comment w:id="2" w:author="未定义" w:date="2017-04-07T12:31:00Z" w:initials="P">
    <w:p w:rsidR="00CC220D" w:rsidRDefault="00CC220D">
      <w:pPr>
        <w:pStyle w:val="ab"/>
      </w:pPr>
      <w:r>
        <w:rPr>
          <w:rStyle w:val="aa"/>
        </w:rPr>
        <w:annotationRef/>
      </w:r>
      <w:r>
        <w:rPr>
          <w:rFonts w:ascii="黑体" w:eastAsia="黑体" w:hint="eastAsia"/>
          <w:sz w:val="36"/>
          <w:szCs w:val="36"/>
        </w:rPr>
        <w:t>黑体</w:t>
      </w:r>
      <w:r w:rsidR="0038159E">
        <w:rPr>
          <w:rFonts w:ascii="黑体" w:eastAsia="黑体" w:hint="eastAsia"/>
          <w:sz w:val="36"/>
          <w:szCs w:val="36"/>
        </w:rPr>
        <w:t>小二号居中</w:t>
      </w:r>
      <w:r w:rsidR="008077E2">
        <w:rPr>
          <w:rFonts w:ascii="黑体" w:eastAsia="黑体" w:hint="eastAsia"/>
          <w:sz w:val="36"/>
          <w:szCs w:val="36"/>
        </w:rPr>
        <w:t>。</w:t>
      </w:r>
    </w:p>
  </w:comment>
  <w:comment w:id="3" w:author="未定义" w:date="2017-04-07T14:54:00Z" w:initials="P">
    <w:p w:rsidR="0059402B" w:rsidRPr="006B7689" w:rsidRDefault="0059402B">
      <w:pPr>
        <w:pStyle w:val="ab"/>
        <w:rPr>
          <w:rFonts w:asciiTheme="minorEastAsia" w:eastAsiaTheme="minorEastAsia" w:hAnsiTheme="minorEastAsia"/>
          <w:sz w:val="32"/>
          <w:szCs w:val="32"/>
        </w:rPr>
      </w:pPr>
      <w:r>
        <w:rPr>
          <w:rStyle w:val="aa"/>
        </w:rPr>
        <w:annotationRef/>
      </w:r>
      <w:r w:rsidRPr="006B7689">
        <w:rPr>
          <w:rFonts w:asciiTheme="minorEastAsia" w:eastAsiaTheme="minorEastAsia" w:hAnsiTheme="minorEastAsia" w:hint="eastAsia"/>
          <w:sz w:val="32"/>
          <w:szCs w:val="32"/>
        </w:rPr>
        <w:t>宋体小四号，</w:t>
      </w:r>
      <w:r w:rsidR="00B24A04">
        <w:rPr>
          <w:rFonts w:asciiTheme="minorEastAsia" w:eastAsiaTheme="minorEastAsia" w:hAnsiTheme="minorEastAsia" w:hint="eastAsia"/>
          <w:sz w:val="32"/>
          <w:szCs w:val="32"/>
        </w:rPr>
        <w:t>1.5倍</w:t>
      </w:r>
      <w:r w:rsidR="008077E2">
        <w:rPr>
          <w:rFonts w:asciiTheme="minorEastAsia" w:eastAsiaTheme="minorEastAsia" w:hAnsiTheme="minorEastAsia" w:hint="eastAsia"/>
          <w:sz w:val="32"/>
          <w:szCs w:val="32"/>
        </w:rPr>
        <w:t>行距</w:t>
      </w:r>
      <w:r w:rsidR="00E44FDE">
        <w:rPr>
          <w:rFonts w:asciiTheme="minorEastAsia" w:eastAsiaTheme="minorEastAsia" w:hAnsiTheme="minorEastAsia" w:hint="eastAsia"/>
          <w:sz w:val="32"/>
          <w:szCs w:val="32"/>
        </w:rPr>
        <w:t>。</w:t>
      </w:r>
    </w:p>
  </w:comment>
  <w:comment w:id="5" w:author="未定义" w:date="2017-04-07T14:54:00Z" w:initials="P">
    <w:p w:rsidR="00857974" w:rsidRPr="006169A8" w:rsidRDefault="00857974">
      <w:pPr>
        <w:pStyle w:val="ab"/>
        <w:rPr>
          <w:rFonts w:asciiTheme="minorEastAsia" w:eastAsiaTheme="minorEastAsia" w:hAnsiTheme="minorEastAsia"/>
          <w:sz w:val="32"/>
          <w:szCs w:val="32"/>
        </w:rPr>
      </w:pPr>
      <w:r>
        <w:rPr>
          <w:rStyle w:val="aa"/>
        </w:rPr>
        <w:annotationRef/>
      </w:r>
      <w:r w:rsidRPr="006B7689">
        <w:rPr>
          <w:rFonts w:asciiTheme="minorEastAsia" w:eastAsiaTheme="minorEastAsia" w:hAnsiTheme="minorEastAsia" w:hint="eastAsia"/>
          <w:sz w:val="32"/>
          <w:szCs w:val="32"/>
        </w:rPr>
        <w:t>宋体小四号，</w:t>
      </w:r>
      <w:r w:rsidR="00B24A04">
        <w:rPr>
          <w:rFonts w:asciiTheme="minorEastAsia" w:eastAsiaTheme="minorEastAsia" w:hAnsiTheme="minorEastAsia" w:hint="eastAsia"/>
          <w:sz w:val="32"/>
          <w:szCs w:val="32"/>
        </w:rPr>
        <w:t>1.5倍行距</w:t>
      </w:r>
      <w:r w:rsidR="006169A8">
        <w:rPr>
          <w:rFonts w:asciiTheme="minorEastAsia" w:eastAsiaTheme="minorEastAsia" w:hAnsiTheme="minorEastAsia" w:hint="eastAsia"/>
          <w:sz w:val="32"/>
          <w:szCs w:val="32"/>
        </w:rPr>
        <w:t>。</w:t>
      </w:r>
    </w:p>
  </w:comment>
  <w:comment w:id="7" w:author="未定义" w:date="2017-04-07T14:51:00Z" w:initials="P">
    <w:p w:rsidR="00062861" w:rsidRDefault="00062861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黑体三号。</w:t>
      </w:r>
    </w:p>
  </w:comment>
  <w:comment w:id="8" w:author="未定义" w:date="2017-04-07T15:00:00Z" w:initials="P">
    <w:p w:rsidR="002A4D20" w:rsidRPr="002A4D20" w:rsidRDefault="002A4D20">
      <w:pPr>
        <w:pStyle w:val="ab"/>
        <w:rPr>
          <w:rFonts w:asciiTheme="minorEastAsia" w:eastAsiaTheme="minorEastAsia" w:hAnsiTheme="minorEastAsia"/>
          <w:sz w:val="32"/>
          <w:szCs w:val="32"/>
        </w:rPr>
      </w:pPr>
      <w:r>
        <w:rPr>
          <w:rStyle w:val="aa"/>
        </w:rPr>
        <w:annotationRef/>
      </w:r>
      <w:r w:rsidRPr="006B7689">
        <w:rPr>
          <w:rFonts w:asciiTheme="minorEastAsia" w:eastAsiaTheme="minorEastAsia" w:hAnsiTheme="minorEastAsia" w:hint="eastAsia"/>
          <w:sz w:val="32"/>
          <w:szCs w:val="32"/>
        </w:rPr>
        <w:t>宋体小四号，</w:t>
      </w:r>
      <w:r w:rsidR="006C12E6">
        <w:rPr>
          <w:rFonts w:asciiTheme="minorEastAsia" w:eastAsiaTheme="minorEastAsia" w:hAnsiTheme="minorEastAsia" w:hint="eastAsia"/>
          <w:sz w:val="32"/>
          <w:szCs w:val="32"/>
        </w:rPr>
        <w:t>1.5倍行距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</w:comment>
  <w:comment w:id="9" w:author="未定义" w:date="2017-04-07T14:52:00Z" w:initials="P">
    <w:p w:rsidR="0054582E" w:rsidRDefault="0054582E">
      <w:pPr>
        <w:pStyle w:val="ab"/>
      </w:pPr>
      <w:r>
        <w:rPr>
          <w:rStyle w:val="aa"/>
        </w:rPr>
        <w:annotationRef/>
      </w:r>
      <w:r w:rsidRPr="00D21EFB">
        <w:rPr>
          <w:rFonts w:asciiTheme="minorEastAsia" w:eastAsiaTheme="minorEastAsia" w:hAnsiTheme="minorEastAsia" w:hint="eastAsia"/>
          <w:sz w:val="32"/>
          <w:szCs w:val="32"/>
        </w:rPr>
        <w:t>宋体小三号</w:t>
      </w:r>
      <w:r>
        <w:rPr>
          <w:rFonts w:hint="eastAsia"/>
        </w:rPr>
        <w:t>（加粗）。</w:t>
      </w:r>
    </w:p>
  </w:comment>
  <w:comment w:id="10" w:author="未定义" w:date="2017-04-07T15:02:00Z" w:initials="P">
    <w:p w:rsidR="009C338D" w:rsidRPr="00070346" w:rsidRDefault="009C338D" w:rsidP="009C338D">
      <w:pPr>
        <w:pStyle w:val="ab"/>
        <w:rPr>
          <w:b/>
        </w:rPr>
      </w:pPr>
      <w:r>
        <w:rPr>
          <w:rStyle w:val="aa"/>
        </w:rPr>
        <w:annotationRef/>
      </w:r>
      <w:r w:rsidRPr="002F3E82">
        <w:rPr>
          <w:rFonts w:asciiTheme="minorEastAsia" w:eastAsiaTheme="minorEastAsia" w:hAnsiTheme="minorEastAsia" w:hint="eastAsia"/>
          <w:sz w:val="32"/>
          <w:szCs w:val="32"/>
        </w:rPr>
        <w:t>宋体四号（加粗）。</w:t>
      </w:r>
    </w:p>
  </w:comment>
  <w:comment w:id="11" w:author="未定义" w:date="2017-04-07T15:02:00Z" w:initials="P">
    <w:p w:rsidR="009C338D" w:rsidRDefault="009C338D" w:rsidP="009C338D">
      <w:pPr>
        <w:pStyle w:val="ab"/>
      </w:pPr>
      <w:r>
        <w:rPr>
          <w:rStyle w:val="aa"/>
        </w:rPr>
        <w:annotationRef/>
      </w:r>
      <w:r w:rsidRPr="002F3E82">
        <w:rPr>
          <w:rFonts w:asciiTheme="minorEastAsia" w:eastAsiaTheme="minorEastAsia" w:hAnsiTheme="minorEastAsia" w:hint="eastAsia"/>
          <w:sz w:val="32"/>
          <w:szCs w:val="32"/>
        </w:rPr>
        <w:t>宋体小四号（</w:t>
      </w:r>
      <w:r w:rsidRPr="002F3E82">
        <w:rPr>
          <w:rFonts w:asciiTheme="minorEastAsia" w:eastAsiaTheme="minorEastAsia" w:hAnsiTheme="minorEastAsia" w:hint="eastAsia"/>
          <w:sz w:val="32"/>
          <w:szCs w:val="32"/>
        </w:rPr>
        <w:t>加粗）。</w:t>
      </w:r>
    </w:p>
  </w:comment>
  <w:comment w:id="13" w:author="未定义" w:date="2017-04-07T15:02:00Z" w:initials="P">
    <w:p w:rsidR="009C338D" w:rsidRDefault="009C338D" w:rsidP="009C338D">
      <w:pPr>
        <w:pStyle w:val="ab"/>
      </w:pPr>
      <w:r>
        <w:rPr>
          <w:rStyle w:val="aa"/>
        </w:rPr>
        <w:annotationRef/>
      </w:r>
      <w:r w:rsidRPr="00D21EFB">
        <w:rPr>
          <w:rFonts w:asciiTheme="minorEastAsia" w:eastAsiaTheme="minorEastAsia" w:hAnsiTheme="minorEastAsia" w:hint="eastAsia"/>
          <w:sz w:val="32"/>
          <w:szCs w:val="32"/>
        </w:rPr>
        <w:t>宋体小</w:t>
      </w:r>
      <w:r>
        <w:rPr>
          <w:rFonts w:asciiTheme="minorEastAsia" w:eastAsiaTheme="minorEastAsia" w:hAnsiTheme="minorEastAsia" w:hint="eastAsia"/>
          <w:sz w:val="32"/>
          <w:szCs w:val="32"/>
        </w:rPr>
        <w:t>四</w:t>
      </w:r>
      <w:r w:rsidRPr="00D21EFB">
        <w:rPr>
          <w:rFonts w:asciiTheme="minorEastAsia" w:eastAsiaTheme="minorEastAsia" w:hAnsiTheme="minorEastAsia" w:hint="eastAsia"/>
          <w:sz w:val="32"/>
          <w:szCs w:val="32"/>
        </w:rPr>
        <w:t>号</w:t>
      </w:r>
      <w:r>
        <w:rPr>
          <w:rFonts w:hint="eastAsia"/>
        </w:rPr>
        <w:t>（加粗）。</w:t>
      </w:r>
    </w:p>
  </w:comment>
  <w:comment w:id="14" w:author="未定义" w:date="2017-04-07T12:50:00Z" w:initials="P">
    <w:p w:rsidR="00E67E45" w:rsidRDefault="00E67E4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自评报告表格样例。</w:t>
      </w:r>
    </w:p>
  </w:comment>
  <w:comment w:id="15" w:author="未定义" w:date="2017-04-07T12:52:00Z" w:initials="P">
    <w:p w:rsidR="00EA7E65" w:rsidRDefault="00EA7E6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图形样例。</w:t>
      </w:r>
    </w:p>
  </w:comment>
  <w:comment w:id="16" w:author="未定义" w:date="2017-04-07T12:53:00Z" w:initials="P">
    <w:p w:rsidR="00EA7E65" w:rsidRDefault="00EA7E6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图形样例。</w:t>
      </w:r>
    </w:p>
  </w:comment>
  <w:comment w:id="17" w:author="未定义" w:date="2017-04-07T12:54:00Z" w:initials="P">
    <w:p w:rsidR="00A77EC9" w:rsidRDefault="00A77EC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图形样例。</w:t>
      </w:r>
    </w:p>
  </w:comment>
  <w:comment w:id="19" w:author="未定义" w:date="2017-04-07T12:55:00Z" w:initials="P">
    <w:p w:rsidR="0090286A" w:rsidRDefault="0090286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填写专业名称</w:t>
      </w:r>
      <w:r w:rsidR="00A77EC9"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1F" w:rsidRDefault="007D641F" w:rsidP="00681F9E">
      <w:r>
        <w:separator/>
      </w:r>
    </w:p>
  </w:endnote>
  <w:endnote w:type="continuationSeparator" w:id="0">
    <w:p w:rsidR="007D641F" w:rsidRDefault="007D641F" w:rsidP="0068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魏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96549"/>
      <w:docPartObj>
        <w:docPartGallery w:val="Page Numbers (Bottom of Page)"/>
        <w:docPartUnique/>
      </w:docPartObj>
    </w:sdtPr>
    <w:sdtEndPr/>
    <w:sdtContent>
      <w:p w:rsidR="000E08FF" w:rsidRDefault="000E08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8D" w:rsidRPr="009C338D">
          <w:rPr>
            <w:noProof/>
            <w:lang w:val="zh-CN"/>
          </w:rPr>
          <w:t>2</w:t>
        </w:r>
        <w:r>
          <w:fldChar w:fldCharType="end"/>
        </w:r>
      </w:p>
    </w:sdtContent>
  </w:sdt>
  <w:p w:rsidR="002C401D" w:rsidRDefault="002C40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1F" w:rsidRDefault="007D641F" w:rsidP="00681F9E">
      <w:r>
        <w:separator/>
      </w:r>
    </w:p>
  </w:footnote>
  <w:footnote w:type="continuationSeparator" w:id="0">
    <w:p w:rsidR="007D641F" w:rsidRDefault="007D641F" w:rsidP="0068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F0"/>
    <w:multiLevelType w:val="hybridMultilevel"/>
    <w:tmpl w:val="24C29A98"/>
    <w:lvl w:ilvl="0" w:tplc="30B01514">
      <w:start w:val="1"/>
      <w:numFmt w:val="decimal"/>
      <w:lvlText w:val="%1．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085254A"/>
    <w:multiLevelType w:val="hybridMultilevel"/>
    <w:tmpl w:val="C11CD7C4"/>
    <w:lvl w:ilvl="0" w:tplc="42B0C338">
      <w:start w:val="1"/>
      <w:numFmt w:val="japaneseCounting"/>
      <w:lvlText w:val="第%1，"/>
      <w:lvlJc w:val="left"/>
      <w:pPr>
        <w:ind w:left="1650" w:hanging="117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4EB1FF7"/>
    <w:multiLevelType w:val="hybridMultilevel"/>
    <w:tmpl w:val="BA583A6C"/>
    <w:lvl w:ilvl="0" w:tplc="4056A1C0">
      <w:start w:val="1"/>
      <w:numFmt w:val="decimal"/>
      <w:lvlText w:val="（%1）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1A932C80"/>
    <w:multiLevelType w:val="hybridMultilevel"/>
    <w:tmpl w:val="0A2EE098"/>
    <w:lvl w:ilvl="0" w:tplc="9F1686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CB87048"/>
    <w:multiLevelType w:val="hybridMultilevel"/>
    <w:tmpl w:val="E1B202C8"/>
    <w:lvl w:ilvl="0" w:tplc="EB248B20">
      <w:start w:val="1"/>
      <w:numFmt w:val="japaneseCounting"/>
      <w:lvlText w:val="第%1，"/>
      <w:lvlJc w:val="left"/>
      <w:pPr>
        <w:ind w:left="1200" w:hanging="72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CEF3E43"/>
    <w:multiLevelType w:val="hybridMultilevel"/>
    <w:tmpl w:val="8CF04F04"/>
    <w:lvl w:ilvl="0" w:tplc="28522902">
      <w:start w:val="1"/>
      <w:numFmt w:val="decimal"/>
      <w:lvlText w:val="%1."/>
      <w:lvlJc w:val="left"/>
      <w:pPr>
        <w:ind w:left="1177" w:hanging="705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6">
    <w:nsid w:val="21A15078"/>
    <w:multiLevelType w:val="hybridMultilevel"/>
    <w:tmpl w:val="2FAC5B06"/>
    <w:lvl w:ilvl="0" w:tplc="33BE921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7">
    <w:nsid w:val="355D6053"/>
    <w:multiLevelType w:val="hybridMultilevel"/>
    <w:tmpl w:val="CCA2D750"/>
    <w:lvl w:ilvl="0" w:tplc="3D567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5E1305"/>
    <w:multiLevelType w:val="hybridMultilevel"/>
    <w:tmpl w:val="9E20A7D4"/>
    <w:lvl w:ilvl="0" w:tplc="7EA647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1104033"/>
    <w:multiLevelType w:val="hybridMultilevel"/>
    <w:tmpl w:val="4CD277CC"/>
    <w:lvl w:ilvl="0" w:tplc="9468F25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1E12002"/>
    <w:multiLevelType w:val="hybridMultilevel"/>
    <w:tmpl w:val="C3BA4646"/>
    <w:lvl w:ilvl="0" w:tplc="7C2664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29F7158"/>
    <w:multiLevelType w:val="hybridMultilevel"/>
    <w:tmpl w:val="582C08C4"/>
    <w:lvl w:ilvl="0" w:tplc="DF86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59E90E6D"/>
    <w:multiLevelType w:val="hybridMultilevel"/>
    <w:tmpl w:val="FB5819AC"/>
    <w:lvl w:ilvl="0" w:tplc="FAD2DD6C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5D222AA1"/>
    <w:multiLevelType w:val="hybridMultilevel"/>
    <w:tmpl w:val="9C108B5E"/>
    <w:lvl w:ilvl="0" w:tplc="008097A2">
      <w:start w:val="1"/>
      <w:numFmt w:val="decimal"/>
      <w:lvlText w:val="%1."/>
      <w:lvlJc w:val="left"/>
      <w:pPr>
        <w:ind w:left="842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>
    <w:nsid w:val="62EB24F5"/>
    <w:multiLevelType w:val="hybridMultilevel"/>
    <w:tmpl w:val="985231D6"/>
    <w:lvl w:ilvl="0" w:tplc="9ABCAE42">
      <w:start w:val="1"/>
      <w:numFmt w:val="japaneseCounting"/>
      <w:lvlText w:val="第%1，"/>
      <w:lvlJc w:val="left"/>
      <w:pPr>
        <w:ind w:left="1200" w:hanging="72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62F235BF"/>
    <w:multiLevelType w:val="hybridMultilevel"/>
    <w:tmpl w:val="B740BB08"/>
    <w:lvl w:ilvl="0" w:tplc="7ED8A8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7382B1A"/>
    <w:multiLevelType w:val="hybridMultilevel"/>
    <w:tmpl w:val="71900896"/>
    <w:lvl w:ilvl="0" w:tplc="4B9C3004">
      <w:start w:val="1"/>
      <w:numFmt w:val="japaneseCounting"/>
      <w:lvlText w:val="（%1）"/>
      <w:lvlJc w:val="left"/>
      <w:pPr>
        <w:ind w:left="143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7">
    <w:nsid w:val="72630CE2"/>
    <w:multiLevelType w:val="hybridMultilevel"/>
    <w:tmpl w:val="D00E22C6"/>
    <w:lvl w:ilvl="0" w:tplc="35681DBA">
      <w:start w:val="1"/>
      <w:numFmt w:val="decimal"/>
      <w:lvlText w:val="%1."/>
      <w:lvlJc w:val="left"/>
      <w:pPr>
        <w:ind w:left="1177" w:hanging="705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0B"/>
    <w:rsid w:val="00011A01"/>
    <w:rsid w:val="00053CAF"/>
    <w:rsid w:val="00062861"/>
    <w:rsid w:val="00070346"/>
    <w:rsid w:val="000C545C"/>
    <w:rsid w:val="000D0420"/>
    <w:rsid w:val="000D1827"/>
    <w:rsid w:val="000D3379"/>
    <w:rsid w:val="000E08FF"/>
    <w:rsid w:val="000E412A"/>
    <w:rsid w:val="000E7396"/>
    <w:rsid w:val="000F70F1"/>
    <w:rsid w:val="001101FA"/>
    <w:rsid w:val="00114BB3"/>
    <w:rsid w:val="001578EB"/>
    <w:rsid w:val="00161C56"/>
    <w:rsid w:val="001D4E30"/>
    <w:rsid w:val="001D7746"/>
    <w:rsid w:val="001F48D5"/>
    <w:rsid w:val="002464CB"/>
    <w:rsid w:val="00250922"/>
    <w:rsid w:val="00277148"/>
    <w:rsid w:val="00277E08"/>
    <w:rsid w:val="00283B34"/>
    <w:rsid w:val="002A08BD"/>
    <w:rsid w:val="002A4D20"/>
    <w:rsid w:val="002A7B75"/>
    <w:rsid w:val="002B4533"/>
    <w:rsid w:val="002C0E4D"/>
    <w:rsid w:val="002C401D"/>
    <w:rsid w:val="002E1A5F"/>
    <w:rsid w:val="002E5D3D"/>
    <w:rsid w:val="002E7658"/>
    <w:rsid w:val="002F3E82"/>
    <w:rsid w:val="00306DB2"/>
    <w:rsid w:val="00321674"/>
    <w:rsid w:val="003354E1"/>
    <w:rsid w:val="00353B9E"/>
    <w:rsid w:val="00360D80"/>
    <w:rsid w:val="00365417"/>
    <w:rsid w:val="0037587A"/>
    <w:rsid w:val="0038159E"/>
    <w:rsid w:val="003A1FD3"/>
    <w:rsid w:val="003A3FE7"/>
    <w:rsid w:val="00407129"/>
    <w:rsid w:val="004110DF"/>
    <w:rsid w:val="00444151"/>
    <w:rsid w:val="00450294"/>
    <w:rsid w:val="00452D09"/>
    <w:rsid w:val="004629F4"/>
    <w:rsid w:val="00483DC8"/>
    <w:rsid w:val="00490B0C"/>
    <w:rsid w:val="0049210F"/>
    <w:rsid w:val="00495B0C"/>
    <w:rsid w:val="004B0BDA"/>
    <w:rsid w:val="00517221"/>
    <w:rsid w:val="00527E11"/>
    <w:rsid w:val="00530683"/>
    <w:rsid w:val="0054582E"/>
    <w:rsid w:val="0055003C"/>
    <w:rsid w:val="00556141"/>
    <w:rsid w:val="0059402B"/>
    <w:rsid w:val="005A2BC6"/>
    <w:rsid w:val="005A3A98"/>
    <w:rsid w:val="005A6CBA"/>
    <w:rsid w:val="005E2558"/>
    <w:rsid w:val="005E796E"/>
    <w:rsid w:val="0060425E"/>
    <w:rsid w:val="006169A8"/>
    <w:rsid w:val="00624DA4"/>
    <w:rsid w:val="00650C40"/>
    <w:rsid w:val="006715E5"/>
    <w:rsid w:val="00681F9E"/>
    <w:rsid w:val="00692D26"/>
    <w:rsid w:val="006A74CF"/>
    <w:rsid w:val="006B43A8"/>
    <w:rsid w:val="006B7689"/>
    <w:rsid w:val="006C12E6"/>
    <w:rsid w:val="006C3BB7"/>
    <w:rsid w:val="006D2E0F"/>
    <w:rsid w:val="006D308A"/>
    <w:rsid w:val="007075E3"/>
    <w:rsid w:val="00710551"/>
    <w:rsid w:val="0072247B"/>
    <w:rsid w:val="007240D8"/>
    <w:rsid w:val="00732ED9"/>
    <w:rsid w:val="00763B31"/>
    <w:rsid w:val="00781867"/>
    <w:rsid w:val="00796857"/>
    <w:rsid w:val="007D641F"/>
    <w:rsid w:val="008077E2"/>
    <w:rsid w:val="0083472F"/>
    <w:rsid w:val="00835DFA"/>
    <w:rsid w:val="00857974"/>
    <w:rsid w:val="0087427B"/>
    <w:rsid w:val="00877905"/>
    <w:rsid w:val="00894C21"/>
    <w:rsid w:val="008B5327"/>
    <w:rsid w:val="008D141F"/>
    <w:rsid w:val="008D3405"/>
    <w:rsid w:val="008D4DCE"/>
    <w:rsid w:val="008E260B"/>
    <w:rsid w:val="008F5C5A"/>
    <w:rsid w:val="0090286A"/>
    <w:rsid w:val="00902E3E"/>
    <w:rsid w:val="00906BE0"/>
    <w:rsid w:val="0091201C"/>
    <w:rsid w:val="00995AF5"/>
    <w:rsid w:val="00997032"/>
    <w:rsid w:val="009B30CE"/>
    <w:rsid w:val="009C2DF6"/>
    <w:rsid w:val="009C338D"/>
    <w:rsid w:val="00A06C6D"/>
    <w:rsid w:val="00A12C9F"/>
    <w:rsid w:val="00A3617C"/>
    <w:rsid w:val="00A51D05"/>
    <w:rsid w:val="00A51F0C"/>
    <w:rsid w:val="00A5416A"/>
    <w:rsid w:val="00A54812"/>
    <w:rsid w:val="00A77EC9"/>
    <w:rsid w:val="00AA2682"/>
    <w:rsid w:val="00AC05DF"/>
    <w:rsid w:val="00AD2274"/>
    <w:rsid w:val="00B1453B"/>
    <w:rsid w:val="00B24A04"/>
    <w:rsid w:val="00B42597"/>
    <w:rsid w:val="00BC75D5"/>
    <w:rsid w:val="00BC79C2"/>
    <w:rsid w:val="00BF0298"/>
    <w:rsid w:val="00C070B5"/>
    <w:rsid w:val="00C33C29"/>
    <w:rsid w:val="00C9412F"/>
    <w:rsid w:val="00CB0228"/>
    <w:rsid w:val="00CB6F92"/>
    <w:rsid w:val="00CC220D"/>
    <w:rsid w:val="00D21EFB"/>
    <w:rsid w:val="00D43007"/>
    <w:rsid w:val="00D61D81"/>
    <w:rsid w:val="00D731AE"/>
    <w:rsid w:val="00D81518"/>
    <w:rsid w:val="00D81B8D"/>
    <w:rsid w:val="00D9129C"/>
    <w:rsid w:val="00DC1888"/>
    <w:rsid w:val="00DC1E48"/>
    <w:rsid w:val="00DF7A82"/>
    <w:rsid w:val="00E038F2"/>
    <w:rsid w:val="00E20D46"/>
    <w:rsid w:val="00E35506"/>
    <w:rsid w:val="00E44FDE"/>
    <w:rsid w:val="00E53DAC"/>
    <w:rsid w:val="00E67E45"/>
    <w:rsid w:val="00EA7E65"/>
    <w:rsid w:val="00EE2571"/>
    <w:rsid w:val="00EE7DDF"/>
    <w:rsid w:val="00F06D3B"/>
    <w:rsid w:val="00F17C07"/>
    <w:rsid w:val="00F35640"/>
    <w:rsid w:val="00F671A7"/>
    <w:rsid w:val="00FB08CA"/>
    <w:rsid w:val="00FB6416"/>
    <w:rsid w:val="00FD30EF"/>
    <w:rsid w:val="00FD50A2"/>
    <w:rsid w:val="00FE7563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E260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26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8E260B"/>
  </w:style>
  <w:style w:type="character" w:styleId="a3">
    <w:name w:val="Hyperlink"/>
    <w:rsid w:val="008E260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E260B"/>
    <w:pPr>
      <w:tabs>
        <w:tab w:val="right" w:leader="dot" w:pos="9060"/>
      </w:tabs>
      <w:ind w:leftChars="200" w:left="420"/>
    </w:pPr>
    <w:rPr>
      <w:b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8E260B"/>
    <w:pPr>
      <w:ind w:leftChars="400" w:left="840"/>
    </w:pPr>
  </w:style>
  <w:style w:type="character" w:customStyle="1" w:styleId="2Char">
    <w:name w:val="标题 2 Char"/>
    <w:basedOn w:val="a0"/>
    <w:link w:val="2"/>
    <w:rsid w:val="008E260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E260B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caption"/>
    <w:basedOn w:val="a"/>
    <w:next w:val="a"/>
    <w:unhideWhenUsed/>
    <w:qFormat/>
    <w:rsid w:val="008E26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8E26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260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81F9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8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81F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8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81F9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1453B"/>
    <w:pPr>
      <w:ind w:firstLineChars="200" w:firstLine="420"/>
    </w:pPr>
  </w:style>
  <w:style w:type="paragraph" w:customStyle="1" w:styleId="Char1CharCharChar0">
    <w:name w:val="Char1 Char Char Char"/>
    <w:basedOn w:val="a"/>
    <w:rsid w:val="006D308A"/>
  </w:style>
  <w:style w:type="paragraph" w:customStyle="1" w:styleId="Char1CharCharChar1">
    <w:name w:val="Char1 Char Char Char"/>
    <w:basedOn w:val="a"/>
    <w:rsid w:val="002E5D3D"/>
  </w:style>
  <w:style w:type="character" w:styleId="aa">
    <w:name w:val="annotation reference"/>
    <w:basedOn w:val="a0"/>
    <w:uiPriority w:val="99"/>
    <w:semiHidden/>
    <w:unhideWhenUsed/>
    <w:rsid w:val="0099703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9703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97032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9703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97032"/>
    <w:rPr>
      <w:rFonts w:ascii="Times New Roman" w:eastAsia="宋体" w:hAnsi="Times New Roman" w:cs="Times New Roman"/>
      <w:b/>
      <w:bCs/>
      <w:szCs w:val="24"/>
    </w:rPr>
  </w:style>
  <w:style w:type="character" w:styleId="ad">
    <w:name w:val="Strong"/>
    <w:qFormat/>
    <w:rsid w:val="00D21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E260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26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8E260B"/>
  </w:style>
  <w:style w:type="character" w:styleId="a3">
    <w:name w:val="Hyperlink"/>
    <w:rsid w:val="008E260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E260B"/>
    <w:pPr>
      <w:tabs>
        <w:tab w:val="right" w:leader="dot" w:pos="9060"/>
      </w:tabs>
      <w:ind w:leftChars="200" w:left="420"/>
    </w:pPr>
    <w:rPr>
      <w:b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8E260B"/>
    <w:pPr>
      <w:ind w:leftChars="400" w:left="840"/>
    </w:pPr>
  </w:style>
  <w:style w:type="character" w:customStyle="1" w:styleId="2Char">
    <w:name w:val="标题 2 Char"/>
    <w:basedOn w:val="a0"/>
    <w:link w:val="2"/>
    <w:rsid w:val="008E260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E260B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caption"/>
    <w:basedOn w:val="a"/>
    <w:next w:val="a"/>
    <w:unhideWhenUsed/>
    <w:qFormat/>
    <w:rsid w:val="008E260B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8E26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E260B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81F9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8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81F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8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81F9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1453B"/>
    <w:pPr>
      <w:ind w:firstLineChars="200" w:firstLine="420"/>
    </w:pPr>
  </w:style>
  <w:style w:type="paragraph" w:customStyle="1" w:styleId="Char1CharCharChar0">
    <w:name w:val="Char1 Char Char Char"/>
    <w:basedOn w:val="a"/>
    <w:rsid w:val="006D308A"/>
  </w:style>
  <w:style w:type="paragraph" w:customStyle="1" w:styleId="Char1CharCharChar1">
    <w:name w:val="Char1 Char Char Char"/>
    <w:basedOn w:val="a"/>
    <w:rsid w:val="002E5D3D"/>
  </w:style>
  <w:style w:type="character" w:styleId="aa">
    <w:name w:val="annotation reference"/>
    <w:basedOn w:val="a0"/>
    <w:uiPriority w:val="99"/>
    <w:semiHidden/>
    <w:unhideWhenUsed/>
    <w:rsid w:val="0099703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9703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97032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9703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97032"/>
    <w:rPr>
      <w:rFonts w:ascii="Times New Roman" w:eastAsia="宋体" w:hAnsi="Times New Roman" w:cs="Times New Roman"/>
      <w:b/>
      <w:bCs/>
      <w:szCs w:val="24"/>
    </w:rPr>
  </w:style>
  <w:style w:type="character" w:styleId="ad">
    <w:name w:val="Strong"/>
    <w:qFormat/>
    <w:rsid w:val="00D21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703</Words>
  <Characters>4009</Characters>
  <Application>Microsoft Office Word</Application>
  <DocSecurity>0</DocSecurity>
  <Lines>33</Lines>
  <Paragraphs>9</Paragraphs>
  <ScaleCrop>false</ScaleCrop>
  <Company>hp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62</cp:revision>
  <cp:lastPrinted>2017-04-07T04:35:00Z</cp:lastPrinted>
  <dcterms:created xsi:type="dcterms:W3CDTF">2017-04-07T04:46:00Z</dcterms:created>
  <dcterms:modified xsi:type="dcterms:W3CDTF">2017-04-07T07:02:00Z</dcterms:modified>
</cp:coreProperties>
</file>